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859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E5C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CE5C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E5CCA">
        <w:rPr>
          <w:rFonts w:ascii="Times New Roman" w:hAnsi="Times New Roman" w:cs="Times New Roman"/>
          <w:b/>
          <w:color w:val="000000"/>
          <w:sz w:val="28"/>
          <w:szCs w:val="28"/>
        </w:rPr>
        <w:t>Статылко</w:t>
      </w:r>
      <w:proofErr w:type="spellEnd"/>
      <w:r w:rsidR="00CE5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Никиты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CCA">
        <w:rPr>
          <w:rFonts w:ascii="Times New Roman" w:hAnsi="Times New Roman" w:cs="Times New Roman"/>
          <w:sz w:val="28"/>
          <w:szCs w:val="28"/>
        </w:rPr>
        <w:t>Статылко</w:t>
      </w:r>
      <w:proofErr w:type="spellEnd"/>
      <w:r w:rsidR="00CE5CCA"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CE5CCA">
        <w:rPr>
          <w:rFonts w:ascii="Times New Roman" w:hAnsi="Times New Roman" w:cs="Times New Roman"/>
          <w:sz w:val="28"/>
          <w:szCs w:val="28"/>
        </w:rPr>
        <w:t>99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E5CCA">
        <w:rPr>
          <w:rFonts w:ascii="Times New Roman" w:hAnsi="Times New Roman" w:cs="Times New Roman"/>
          <w:sz w:val="28"/>
          <w:szCs w:val="28"/>
        </w:rPr>
        <w:t>учащегося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CE5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5CCA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5CCA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E5CCA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B8" w:rsidRDefault="00C827B8" w:rsidP="00043F1A">
      <w:pPr>
        <w:spacing w:after="0" w:line="240" w:lineRule="auto"/>
      </w:pPr>
      <w:r>
        <w:separator/>
      </w:r>
    </w:p>
  </w:endnote>
  <w:endnote w:type="continuationSeparator" w:id="0">
    <w:p w:rsidR="00C827B8" w:rsidRDefault="00C827B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B8" w:rsidRDefault="00C827B8" w:rsidP="00043F1A">
      <w:pPr>
        <w:spacing w:after="0" w:line="240" w:lineRule="auto"/>
      </w:pPr>
      <w:r>
        <w:separator/>
      </w:r>
    </w:p>
  </w:footnote>
  <w:footnote w:type="continuationSeparator" w:id="0">
    <w:p w:rsidR="00C827B8" w:rsidRDefault="00C827B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D1AA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C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C70A4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DD1AA8"/>
    <w:rsid w:val="00DF123A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FCAF-3173-48FA-B6F7-F7788000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2017-08-03T06:42:00Z</cp:lastPrinted>
  <dcterms:created xsi:type="dcterms:W3CDTF">2017-08-03T06:38:00Z</dcterms:created>
  <dcterms:modified xsi:type="dcterms:W3CDTF">2017-08-03T06:42:00Z</dcterms:modified>
</cp:coreProperties>
</file>