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D1" w:rsidRPr="00C946D1" w:rsidRDefault="00C946D1" w:rsidP="00C946D1">
      <w:pPr>
        <w:jc w:val="center"/>
        <w:rPr>
          <w:rFonts w:ascii="Times New Roman" w:hAnsi="Times New Roman" w:cs="Times New Roman"/>
          <w:sz w:val="32"/>
          <w:szCs w:val="32"/>
        </w:rPr>
      </w:pPr>
      <w:r w:rsidRPr="00C946D1">
        <w:rPr>
          <w:rFonts w:ascii="Times New Roman" w:hAnsi="Times New Roman" w:cs="Times New Roman"/>
          <w:sz w:val="32"/>
          <w:szCs w:val="32"/>
        </w:rPr>
        <w:t xml:space="preserve">Конституционный Суд </w:t>
      </w:r>
      <w:r w:rsidRPr="00C946D1">
        <w:rPr>
          <w:rFonts w:ascii="Times New Roman" w:hAnsi="Times New Roman" w:cs="Times New Roman"/>
          <w:sz w:val="32"/>
          <w:szCs w:val="32"/>
        </w:rPr>
        <w:t xml:space="preserve">Российской Федерации </w:t>
      </w:r>
      <w:r w:rsidRPr="00C946D1">
        <w:rPr>
          <w:rFonts w:ascii="Times New Roman" w:hAnsi="Times New Roman" w:cs="Times New Roman"/>
          <w:sz w:val="32"/>
          <w:szCs w:val="32"/>
        </w:rPr>
        <w:t xml:space="preserve">о </w:t>
      </w:r>
      <w:r w:rsidRPr="00C946D1">
        <w:rPr>
          <w:rFonts w:ascii="Times New Roman" w:hAnsi="Times New Roman" w:cs="Times New Roman"/>
          <w:sz w:val="32"/>
          <w:szCs w:val="32"/>
        </w:rPr>
        <w:t>премиях</w:t>
      </w:r>
    </w:p>
    <w:p w:rsidR="00C946D1" w:rsidRPr="00C946D1" w:rsidRDefault="00C946D1" w:rsidP="00C94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Определении</w:t>
      </w:r>
      <w:r w:rsidRPr="00C946D1">
        <w:rPr>
          <w:rFonts w:ascii="Times New Roman" w:hAnsi="Times New Roman" w:cs="Times New Roman"/>
          <w:sz w:val="28"/>
          <w:szCs w:val="28"/>
        </w:rPr>
        <w:t xml:space="preserve"> Конституционного Суда РФ от 27 июня 2017 г. N 1272-О</w:t>
      </w:r>
      <w:r>
        <w:rPr>
          <w:rFonts w:ascii="Times New Roman" w:hAnsi="Times New Roman" w:cs="Times New Roman"/>
          <w:sz w:val="28"/>
          <w:szCs w:val="28"/>
        </w:rPr>
        <w:t xml:space="preserve"> речь зашла о правовой природе премий работников.</w:t>
      </w:r>
    </w:p>
    <w:p w:rsidR="00C946D1" w:rsidRPr="00C946D1" w:rsidRDefault="00C946D1" w:rsidP="00C946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6D1">
        <w:rPr>
          <w:rFonts w:ascii="Times New Roman" w:hAnsi="Times New Roman" w:cs="Times New Roman"/>
          <w:sz w:val="28"/>
          <w:szCs w:val="28"/>
        </w:rPr>
        <w:t>Суд указал, что, поскольку в ст. 129 ТК РФ премия поименована в качестве составляющей заработной платы работника, законодатель включает системы премирования в систему оплаты труда, что предполагает определение размера, условий и периодичности премирования в коллективных договорах, соглашениях, локальных нормативных актах в соответствии с трудовым законодательством и иными нормативными правовыми актами, содержащими нормы трудового права.</w:t>
      </w:r>
      <w:proofErr w:type="gramEnd"/>
      <w:r w:rsidRPr="00C946D1">
        <w:rPr>
          <w:rFonts w:ascii="Times New Roman" w:hAnsi="Times New Roman" w:cs="Times New Roman"/>
          <w:sz w:val="28"/>
          <w:szCs w:val="28"/>
        </w:rPr>
        <w:t xml:space="preserve"> В то же время статьи 22 и 191 ТК РФ предоставляют работодателю право поощрять работника за добросовестный и эффективный труд, в том числе путем выдачи премии, не затрагивая при этом вопросов установления заработной платы и определения ее составляющих.</w:t>
      </w:r>
    </w:p>
    <w:p w:rsidR="00BB05FD" w:rsidRPr="00C946D1" w:rsidRDefault="00C946D1" w:rsidP="00C946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Pr="00C946D1">
        <w:rPr>
          <w:rFonts w:ascii="Times New Roman" w:hAnsi="Times New Roman" w:cs="Times New Roman"/>
          <w:sz w:val="28"/>
          <w:szCs w:val="28"/>
        </w:rPr>
        <w:t xml:space="preserve"> суд </w:t>
      </w:r>
      <w:r>
        <w:rPr>
          <w:rFonts w:ascii="Times New Roman" w:hAnsi="Times New Roman" w:cs="Times New Roman"/>
          <w:sz w:val="28"/>
          <w:szCs w:val="28"/>
        </w:rPr>
        <w:t>как бы</w:t>
      </w:r>
      <w:bookmarkStart w:id="0" w:name="_GoBack"/>
      <w:bookmarkEnd w:id="0"/>
      <w:r w:rsidRPr="00C946D1">
        <w:rPr>
          <w:rFonts w:ascii="Times New Roman" w:hAnsi="Times New Roman" w:cs="Times New Roman"/>
          <w:sz w:val="28"/>
          <w:szCs w:val="28"/>
        </w:rPr>
        <w:t xml:space="preserve"> разделил все выплачиваемые работодателем премии на два вида. Одни являются частью системы оплаты труда и должны выплачиваться работодателем при достижении определенных условий премирования, оговоренных в документах, устанавливающих систему оплаты труда. Размеры и порядок выплаты таких премий также должны быть зафиксированы. Другие же премии выплачиваются работодателем по своему усмотрению и являются предусмотренным законодательством способом разового поощрения работников. Такие премии частью системы оплаты труда не являются.</w:t>
      </w:r>
    </w:p>
    <w:sectPr w:rsidR="00BB05FD" w:rsidRPr="00C94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E4"/>
    <w:rsid w:val="00BB05FD"/>
    <w:rsid w:val="00C946D1"/>
    <w:rsid w:val="00CE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2017-08-10T11:07:00Z</dcterms:created>
  <dcterms:modified xsi:type="dcterms:W3CDTF">2017-08-10T11:10:00Z</dcterms:modified>
</cp:coreProperties>
</file>