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7" w:rsidRDefault="00EB70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0C7" w:rsidRDefault="00EB70C7">
      <w:pPr>
        <w:pStyle w:val="ConsPlusNormal"/>
        <w:outlineLvl w:val="0"/>
      </w:pPr>
    </w:p>
    <w:p w:rsidR="00EB70C7" w:rsidRDefault="00EB70C7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EB70C7" w:rsidRDefault="00EB7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0C7" w:rsidRDefault="00EB70C7">
      <w:pPr>
        <w:pStyle w:val="ConsPlusNormal"/>
        <w:jc w:val="center"/>
      </w:pPr>
    </w:p>
    <w:p w:rsidR="00EB70C7" w:rsidRDefault="00EB70C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B70C7" w:rsidRDefault="00EB70C7">
      <w:pPr>
        <w:pStyle w:val="ConsPlusTitle"/>
        <w:jc w:val="center"/>
      </w:pPr>
    </w:p>
    <w:p w:rsidR="00EB70C7" w:rsidRDefault="00EB70C7">
      <w:pPr>
        <w:pStyle w:val="ConsPlusTitle"/>
        <w:jc w:val="center"/>
      </w:pPr>
      <w:r>
        <w:t>ПРИКАЗ</w:t>
      </w:r>
    </w:p>
    <w:p w:rsidR="00EB70C7" w:rsidRDefault="00EB70C7">
      <w:pPr>
        <w:pStyle w:val="ConsPlusTitle"/>
        <w:jc w:val="center"/>
      </w:pPr>
      <w:r>
        <w:t>от 1 сентября 2014 г. N 540</w:t>
      </w:r>
    </w:p>
    <w:p w:rsidR="00EB70C7" w:rsidRDefault="00EB70C7">
      <w:pPr>
        <w:pStyle w:val="ConsPlusTitle"/>
        <w:jc w:val="center"/>
      </w:pPr>
    </w:p>
    <w:p w:rsidR="00EB70C7" w:rsidRDefault="00EB70C7">
      <w:pPr>
        <w:pStyle w:val="ConsPlusTitle"/>
        <w:jc w:val="center"/>
      </w:pPr>
      <w:r>
        <w:t>ОБ УТВЕРЖДЕНИИ КЛАССИФИКАТОРА</w:t>
      </w:r>
    </w:p>
    <w:p w:rsidR="00EB70C7" w:rsidRDefault="00EB70C7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B70C7" w:rsidRDefault="00EB70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70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0C7" w:rsidRDefault="00EB7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0C7" w:rsidRDefault="00EB7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0C7" w:rsidRDefault="00EB7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0C7" w:rsidRDefault="00EB70C7">
      <w:pPr>
        <w:pStyle w:val="ConsPlusNormal"/>
        <w:jc w:val="center"/>
      </w:pPr>
    </w:p>
    <w:p w:rsidR="00EB70C7" w:rsidRDefault="00EB70C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2006, N 1, ст. 17; N 17, ст. 1782; N 23, ст. 2380; N 27, ст. 2880, 2881; N 31, ст. 3453; N 43, ст. 4412; N 50, ст. 5279, 5282, 5498; 2007, N 1, ст. 23, 24; N 10, ст. 1148; N 21, ст. 2455; N 26, ст. 3075;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7365, 7359, 7366;</w:t>
      </w:r>
      <w:proofErr w:type="gramEnd"/>
      <w:r>
        <w:t xml:space="preserve"> N 51, ст. 7446, 7448; 2012, N 26, ст. 3446; N 31, ст. 4322; N 53, ст. 7643; 2013, N 9, ст. 873; N 14, ст. 1663; N 30, ст. 4080; 2014, N 26, ст. 3377) приказываю:</w:t>
      </w:r>
    </w:p>
    <w:p w:rsidR="00EB70C7" w:rsidRDefault="00EB70C7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EB70C7" w:rsidRDefault="00EB70C7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EB70C7" w:rsidRDefault="00EB70C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EB70C7" w:rsidRDefault="00EB70C7">
      <w:pPr>
        <w:pStyle w:val="ConsPlusNormal"/>
        <w:ind w:firstLine="540"/>
        <w:jc w:val="both"/>
      </w:pPr>
    </w:p>
    <w:p w:rsidR="00EB70C7" w:rsidRDefault="00EB70C7">
      <w:pPr>
        <w:pStyle w:val="ConsPlusNormal"/>
        <w:jc w:val="right"/>
      </w:pPr>
      <w:r>
        <w:t>Министр</w:t>
      </w:r>
    </w:p>
    <w:p w:rsidR="00EB70C7" w:rsidRDefault="00EB70C7">
      <w:pPr>
        <w:pStyle w:val="ConsPlusNormal"/>
        <w:jc w:val="right"/>
      </w:pPr>
      <w:r>
        <w:t>А.В.УЛЮКАЕВ</w:t>
      </w:r>
    </w:p>
    <w:p w:rsidR="00EB70C7" w:rsidRDefault="00EB70C7">
      <w:pPr>
        <w:pStyle w:val="ConsPlusNormal"/>
        <w:jc w:val="right"/>
      </w:pPr>
    </w:p>
    <w:p w:rsidR="00EB70C7" w:rsidRDefault="00EB70C7">
      <w:pPr>
        <w:pStyle w:val="ConsPlusNormal"/>
        <w:jc w:val="right"/>
      </w:pPr>
    </w:p>
    <w:p w:rsidR="00EB70C7" w:rsidRDefault="00EB70C7">
      <w:pPr>
        <w:pStyle w:val="ConsPlusNormal"/>
        <w:jc w:val="right"/>
      </w:pPr>
    </w:p>
    <w:p w:rsidR="00EB70C7" w:rsidRDefault="00EB70C7">
      <w:pPr>
        <w:pStyle w:val="ConsPlusNormal"/>
        <w:jc w:val="right"/>
      </w:pPr>
    </w:p>
    <w:p w:rsidR="00EB70C7" w:rsidRDefault="00EB70C7">
      <w:pPr>
        <w:pStyle w:val="ConsPlusNormal"/>
        <w:jc w:val="right"/>
      </w:pPr>
    </w:p>
    <w:p w:rsidR="00EB70C7" w:rsidRDefault="00EB70C7">
      <w:pPr>
        <w:pStyle w:val="ConsPlusNormal"/>
        <w:jc w:val="right"/>
        <w:outlineLvl w:val="0"/>
      </w:pPr>
      <w:r>
        <w:t>Приложение</w:t>
      </w:r>
    </w:p>
    <w:p w:rsidR="00EB70C7" w:rsidRDefault="00EB70C7">
      <w:pPr>
        <w:pStyle w:val="ConsPlusNormal"/>
        <w:jc w:val="right"/>
      </w:pPr>
      <w:r>
        <w:t>к приказу Минэкономразвития России</w:t>
      </w:r>
    </w:p>
    <w:p w:rsidR="00EB70C7" w:rsidRDefault="00EB70C7">
      <w:pPr>
        <w:pStyle w:val="ConsPlusNormal"/>
        <w:jc w:val="right"/>
      </w:pPr>
      <w:r>
        <w:t>от 1 сентября 2014 г. N 540</w:t>
      </w:r>
    </w:p>
    <w:p w:rsidR="00EB70C7" w:rsidRDefault="00EB70C7">
      <w:pPr>
        <w:pStyle w:val="ConsPlusNormal"/>
        <w:ind w:firstLine="540"/>
        <w:jc w:val="both"/>
      </w:pPr>
    </w:p>
    <w:p w:rsidR="00EB70C7" w:rsidRDefault="00EB70C7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EB70C7" w:rsidRDefault="00EB70C7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B70C7" w:rsidRDefault="00EB70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70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0C7" w:rsidRDefault="00EB70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B70C7" w:rsidRDefault="00EB7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0C7" w:rsidRDefault="00EB7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0C7" w:rsidRDefault="00EB7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4"/>
        <w:gridCol w:w="3040"/>
        <w:gridCol w:w="1656"/>
      </w:tblGrid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5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5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5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0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15" w:history="1">
              <w:r>
                <w:rPr>
                  <w:color w:val="0000FF"/>
                </w:rPr>
                <w:t>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1.0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5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2" w:name="P50"/>
            <w:bookmarkEnd w:id="2"/>
            <w:r>
              <w:t>1.1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3" w:name="P53"/>
            <w:bookmarkEnd w:id="3"/>
            <w:r>
              <w:t>1.2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Осуществление хозяйственной деятельности на сельскохозяйственных угодьях, связанной с </w:t>
            </w:r>
            <w: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1.5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4" w:name="P65"/>
            <w:bookmarkEnd w:id="4"/>
            <w:r>
              <w:t>1.6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74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89" w:history="1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Скотоводство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B70C7" w:rsidRDefault="00EB70C7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B70C7" w:rsidRDefault="00EB70C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5" w:name="P74"/>
            <w:bookmarkEnd w:id="5"/>
            <w:r>
              <w:t>1.8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B70C7" w:rsidRDefault="00EB70C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1.9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разведение племенных животных, производство и </w:t>
            </w:r>
            <w:r>
              <w:lastRenderedPageBreak/>
              <w:t>использование племенной продукции (материала)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B70C7" w:rsidRDefault="00EB70C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6" w:name="P89"/>
            <w:bookmarkEnd w:id="6"/>
            <w:r>
              <w:t>1.11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1.12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1.13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 коллекций </w:t>
            </w:r>
            <w:r>
              <w:lastRenderedPageBreak/>
              <w:t>генетических ресурсов растений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1.15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1.16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1.17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7" w:name="P115"/>
            <w:bookmarkEnd w:id="7"/>
            <w:r>
              <w:t>1.18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EB70C7" w:rsidRDefault="00EB70C7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- с целью извлечения предпринимательской выгоды из предоставления жилого </w:t>
            </w:r>
            <w:r>
              <w:lastRenderedPageBreak/>
              <w:t>помещения для временного проживания в них (гостиницы, дома отдыха);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EB70C7" w:rsidRDefault="00EB70C7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B70C7" w:rsidRDefault="00EB70C7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6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74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bookmarkStart w:id="8" w:name="P126"/>
            <w:bookmarkEnd w:id="8"/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B70C7" w:rsidRDefault="00EB70C7">
            <w:pPr>
              <w:pStyle w:val="ConsPlusNormal"/>
              <w:jc w:val="both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2.1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разведение декоративных и </w:t>
            </w:r>
            <w:r>
              <w:lastRenderedPageBreak/>
              <w:t>плодовых деревьев, овощных и ягодных культур;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2.1.1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B70C7" w:rsidRDefault="00EB70C7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2.2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>
              <w:lastRenderedPageBreak/>
              <w:t>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EB70C7" w:rsidRDefault="00EB70C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2.3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2.4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Среднеэтажная жилая застройка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EB70C7" w:rsidRDefault="00EB70C7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обслуживания жилой </w:t>
            </w:r>
            <w:r>
              <w:lastRenderedPageBreak/>
              <w:t>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2.5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Многоэтажная жилая застройка (высотная застройка)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B70C7" w:rsidRDefault="00EB70C7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2.6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91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9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99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47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62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27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282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</w:t>
            </w:r>
            <w:r>
              <w:lastRenderedPageBreak/>
              <w:t>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06.10.2017 N 547)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9" w:name="P174"/>
            <w:bookmarkEnd w:id="9"/>
            <w:r>
              <w:t>Объекты гаражного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2.7.1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bookmarkStart w:id="10" w:name="P182"/>
            <w:bookmarkEnd w:id="10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>
              <w:lastRenderedPageBreak/>
              <w:t>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bookmarkStart w:id="11" w:name="P186"/>
            <w:bookmarkEnd w:id="11"/>
            <w:r>
              <w:t>Социальное обслуживание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3.2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2" w:name="P191"/>
            <w:bookmarkEnd w:id="1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>
              <w:lastRenderedPageBreak/>
              <w:t>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3" w:name="P195"/>
            <w:bookmarkEnd w:id="1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03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3.4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4" w:name="P199"/>
            <w:bookmarkEnd w:id="1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3.4.1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5" w:name="P203"/>
            <w:bookmarkEnd w:id="1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станций скорой помощи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3.4.2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21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1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3.5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6" w:name="P212"/>
            <w:bookmarkEnd w:id="1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3.5.1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7" w:name="P216"/>
            <w:bookmarkEnd w:id="1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</w:t>
            </w:r>
            <w: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3.5.2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18" w:name="P220"/>
            <w:bookmarkEnd w:id="1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устройство площадок для празднеств и гуляний;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3.6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bookmarkStart w:id="19" w:name="P226"/>
            <w:bookmarkEnd w:id="19"/>
            <w:r>
              <w:t>Религиозное использование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3.7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3.8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</w:t>
            </w:r>
            <w:r>
              <w:lastRenderedPageBreak/>
              <w:t>растительного и животного мира</w:t>
            </w:r>
            <w:proofErr w:type="gramEnd"/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3.9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3.9.1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7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3.10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0" w:name="P247"/>
            <w:bookmarkEnd w:id="20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 </w:t>
            </w:r>
            <w:r>
              <w:lastRenderedPageBreak/>
              <w:t>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3.10.1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1" w:name="P251"/>
            <w:bookmarkEnd w:id="21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3.10.2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2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05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bookmarkStart w:id="22" w:name="P262"/>
            <w:bookmarkEnd w:id="2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4.1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81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>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3" w:name="P271"/>
            <w:bookmarkEnd w:id="2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bookmarkStart w:id="24" w:name="P276"/>
            <w:bookmarkEnd w:id="24"/>
            <w:r>
              <w:t>Магазины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4.4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25" w:name="P281"/>
            <w:bookmarkEnd w:id="25"/>
            <w:r>
              <w:lastRenderedPageBreak/>
              <w:t>4.5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6" w:name="P282"/>
            <w:bookmarkEnd w:id="26"/>
            <w:r>
              <w:lastRenderedPageBreak/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4.6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7" w:name="P286"/>
            <w:bookmarkEnd w:id="27"/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4.7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4.8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bookmarkStart w:id="28" w:name="P294"/>
            <w:bookmarkEnd w:id="28"/>
            <w:r>
              <w:t>Обслуживание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>
                <w:rPr>
                  <w:color w:val="0000FF"/>
                </w:rPr>
                <w:t>коде 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4.9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B70C7" w:rsidRDefault="00EB70C7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4.9.1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29" w:name="P305"/>
            <w:bookmarkEnd w:id="29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4.10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создание и уход за парками, городскими лесами, садами и </w:t>
            </w:r>
            <w:r>
              <w:lastRenderedPageBreak/>
              <w:t>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5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335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30" w:name="P315"/>
            <w:bookmarkEnd w:id="30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5.1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B70C7" w:rsidRDefault="00EB70C7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5.2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5.2.1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5.3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5.4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bookmarkStart w:id="31" w:name="P335"/>
            <w:bookmarkEnd w:id="31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5.5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EB70C7" w:rsidRDefault="00EB70C7">
            <w:pPr>
              <w:pStyle w:val="ConsPlusNormal"/>
              <w:jc w:val="both"/>
            </w:pPr>
            <w:r>
              <w:lastRenderedPageBreak/>
              <w:t>добыча недр открытым (карьеры, отвалы) и закрытым (шахты, скважины) способами;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6.2.1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gramStart"/>
            <w:r>
              <w:t>фарфоро-фаянсовой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6.3.1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6.4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переработки углеводородного сырья, изготовления </w:t>
            </w:r>
            <w:r>
              <w:lastRenderedPageBreak/>
              <w:t>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6.5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Строительная промышленность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6.6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6.7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</w:t>
            </w:r>
            <w:r>
              <w:lastRenderedPageBreak/>
              <w:t>электростанций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6.7.1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6.8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6.9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</w:t>
            </w:r>
            <w:r>
              <w:lastRenderedPageBreak/>
              <w:t>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lastRenderedPageBreak/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6.11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3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428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7.0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bookmarkStart w:id="32" w:name="P403"/>
            <w:bookmarkEnd w:id="32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железнодорожных путей;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</w:t>
            </w:r>
            <w:r>
              <w:lastRenderedPageBreak/>
              <w:t>ремонта наземных и подземных зданий, сооружений, устройств и других объектов железнодорожного транспорта;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наземных сооружений метрополитена, в том числе посадочных станций, вентиляционных шахт;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</w:t>
            </w:r>
            <w:r>
              <w:lastRenderedPageBreak/>
              <w:t>движения;</w:t>
            </w:r>
          </w:p>
          <w:p w:rsidR="00EB70C7" w:rsidRDefault="00EB70C7">
            <w:pPr>
              <w:pStyle w:val="ConsPlusNormal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7.2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7.3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>
              <w:lastRenderedPageBreak/>
              <w:t>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33" w:name="P428"/>
            <w:bookmarkEnd w:id="33"/>
            <w:r>
              <w:t>7.5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EB70C7" w:rsidRDefault="00EB70C7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8.0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разработки, испытания, производства ремонта или </w:t>
            </w:r>
            <w:r>
              <w:lastRenderedPageBreak/>
              <w:t>уничтожения вооружения, техники военного назначения и боеприпасов;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8.2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</w:t>
            </w:r>
            <w:r>
              <w:lastRenderedPageBreak/>
              <w:t>спасательных служб, в которых существует военизированная служба;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8.3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8.4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9.0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9.1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Использование, в том числе с </w:t>
            </w:r>
            <w:r>
              <w:lastRenderedPageBreak/>
              <w:t>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EB70C7" w:rsidRDefault="00EB70C7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9.2.1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</w:t>
            </w:r>
            <w:r>
              <w:lastRenderedPageBreak/>
              <w:t>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9.3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- 10.5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10.0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bookmarkStart w:id="34" w:name="P476"/>
            <w:bookmarkEnd w:id="34"/>
            <w:r>
              <w:t>10.1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10.2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</w:t>
            </w:r>
            <w:r>
              <w:lastRenderedPageBreak/>
              <w:t>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10.3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Резервные леса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10.4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11.0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11.1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11.2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>Гидротехнические сооружения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11.3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12.0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12.1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proofErr w:type="gramStart"/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</w:t>
            </w:r>
            <w:r>
              <w:lastRenderedPageBreak/>
              <w:t>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12.2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c>
          <w:tcPr>
            <w:tcW w:w="2774" w:type="dxa"/>
          </w:tcPr>
          <w:p w:rsidR="00EB70C7" w:rsidRDefault="00EB70C7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EB70C7" w:rsidRDefault="00EB70C7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EB70C7" w:rsidRDefault="00EB70C7">
            <w:pPr>
              <w:pStyle w:val="ConsPlusNormal"/>
              <w:jc w:val="center"/>
            </w:pPr>
            <w:r>
              <w:t>12.3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13.1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EB70C7" w:rsidRDefault="00EB70C7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t>13.2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Ведение дачного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EB70C7" w:rsidRDefault="00EB70C7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EB70C7" w:rsidRDefault="00EB70C7">
            <w:pPr>
              <w:pStyle w:val="ConsPlusNormal"/>
              <w:jc w:val="both"/>
            </w:pPr>
            <w:r>
              <w:lastRenderedPageBreak/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EB70C7" w:rsidRDefault="00EB70C7">
            <w:pPr>
              <w:pStyle w:val="ConsPlusNormal"/>
              <w:jc w:val="center"/>
            </w:pPr>
            <w:r>
              <w:lastRenderedPageBreak/>
              <w:t>13.3</w:t>
            </w:r>
          </w:p>
        </w:tc>
      </w:tr>
      <w:tr w:rsidR="00EB70C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B70C7" w:rsidRDefault="00EB70C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</w:tbl>
    <w:p w:rsidR="00EB70C7" w:rsidRDefault="00EB70C7">
      <w:pPr>
        <w:pStyle w:val="ConsPlusNormal"/>
        <w:ind w:firstLine="540"/>
        <w:jc w:val="both"/>
      </w:pPr>
    </w:p>
    <w:p w:rsidR="00EB70C7" w:rsidRDefault="00EB70C7">
      <w:pPr>
        <w:pStyle w:val="ConsPlusNormal"/>
        <w:ind w:firstLine="540"/>
        <w:jc w:val="both"/>
      </w:pPr>
      <w:r>
        <w:t>--------------------------------</w:t>
      </w:r>
    </w:p>
    <w:p w:rsidR="00EB70C7" w:rsidRDefault="00EB70C7">
      <w:pPr>
        <w:pStyle w:val="ConsPlusNormal"/>
        <w:spacing w:before="220"/>
        <w:ind w:firstLine="540"/>
        <w:jc w:val="both"/>
      </w:pPr>
      <w:bookmarkStart w:id="35" w:name="P532"/>
      <w:bookmarkEnd w:id="35"/>
      <w:r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EB70C7" w:rsidRDefault="00EB70C7">
      <w:pPr>
        <w:pStyle w:val="ConsPlusNormal"/>
        <w:spacing w:before="220"/>
        <w:ind w:firstLine="540"/>
        <w:jc w:val="both"/>
      </w:pPr>
      <w:bookmarkStart w:id="36" w:name="P533"/>
      <w:bookmarkEnd w:id="36"/>
      <w:proofErr w:type="gramStart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EB70C7" w:rsidRDefault="00EB70C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EB70C7" w:rsidRDefault="00EB70C7">
      <w:pPr>
        <w:pStyle w:val="ConsPlusNormal"/>
        <w:spacing w:before="220"/>
        <w:ind w:firstLine="540"/>
        <w:jc w:val="both"/>
      </w:pPr>
      <w:bookmarkStart w:id="37" w:name="P535"/>
      <w:bookmarkEnd w:id="37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B70C7" w:rsidRDefault="00EB70C7">
      <w:pPr>
        <w:pStyle w:val="ConsPlusNormal"/>
        <w:ind w:firstLine="540"/>
        <w:jc w:val="both"/>
      </w:pPr>
    </w:p>
    <w:p w:rsidR="00EB70C7" w:rsidRDefault="00EB70C7">
      <w:pPr>
        <w:pStyle w:val="ConsPlusNormal"/>
        <w:ind w:firstLine="540"/>
        <w:jc w:val="both"/>
      </w:pPr>
    </w:p>
    <w:p w:rsidR="00EB70C7" w:rsidRDefault="00EB7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0C7" w:rsidRDefault="00EB70C7"/>
    <w:sectPr w:rsidR="00EB70C7" w:rsidSect="00E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70C7"/>
    <w:rsid w:val="00EB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7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0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994BD3C284DFC0DBF779E58FDBA15C14E7C2934202F090CB763B154C41D28F688322F4FAF2608oF70M" TargetMode="External"/><Relationship Id="rId18" Type="http://schemas.openxmlformats.org/officeDocument/2006/relationships/hyperlink" Target="consultantplus://offline/ref=801994BD3C284DFC0DBF779E58FDBA15C14E7C2934202F090CB763B154C41D28F688322F4FAF260AoF7BM" TargetMode="External"/><Relationship Id="rId26" Type="http://schemas.openxmlformats.org/officeDocument/2006/relationships/hyperlink" Target="consultantplus://offline/ref=801994BD3C284DFC0DBF779E58FDBA15C14E7C2934202F090CB763B154C41D28F688322F4FAF260FoF78M" TargetMode="External"/><Relationship Id="rId39" Type="http://schemas.openxmlformats.org/officeDocument/2006/relationships/hyperlink" Target="consultantplus://offline/ref=801994BD3C284DFC0DBF779E58FDBA15C14E7C2934202F090CB763B154C41D28F688322F4FAF2600oF78M" TargetMode="External"/><Relationship Id="rId21" Type="http://schemas.openxmlformats.org/officeDocument/2006/relationships/hyperlink" Target="consultantplus://offline/ref=801994BD3C284DFC0DBF779E58FDBA15C14E7C2934202F090CB763B154C41D28F688322F4FAF260DoF7AM" TargetMode="External"/><Relationship Id="rId34" Type="http://schemas.openxmlformats.org/officeDocument/2006/relationships/hyperlink" Target="consultantplus://offline/ref=801994BD3C284DFC0DBF779E58FDBA15C14E7C2934202F090CB763B154C41D28F688322F4FAF2601oF7AM" TargetMode="External"/><Relationship Id="rId42" Type="http://schemas.openxmlformats.org/officeDocument/2006/relationships/hyperlink" Target="consultantplus://offline/ref=801994BD3C284DFC0DBF779E58FDBA15C14E7C2934202F090CB763B154C41D28F688322F4FAF2709oF7AM" TargetMode="External"/><Relationship Id="rId47" Type="http://schemas.openxmlformats.org/officeDocument/2006/relationships/hyperlink" Target="consultantplus://offline/ref=801994BD3C284DFC0DBF779E58FDBA15C14E7C2934202F090CB763B154C41D28F688322F4FAF2708oF7BM" TargetMode="External"/><Relationship Id="rId50" Type="http://schemas.openxmlformats.org/officeDocument/2006/relationships/hyperlink" Target="consultantplus://offline/ref=801994BD3C284DFC0DBF779E58FDBA15C14E7C2934202F090CB763B154C41D28F688322F4FAF270BoF7DM" TargetMode="External"/><Relationship Id="rId55" Type="http://schemas.openxmlformats.org/officeDocument/2006/relationships/hyperlink" Target="consultantplus://offline/ref=801994BD3C284DFC0DBF779E58FDBA15C14E7C2934202F090CB763B154C41D28F688322F4FAF270DoF7DM" TargetMode="External"/><Relationship Id="rId63" Type="http://schemas.openxmlformats.org/officeDocument/2006/relationships/hyperlink" Target="consultantplus://offline/ref=801994BD3C284DFC0DBF779E58FDBA15C14E7C2934202F090CB763B154C41D28F688322F4FAF270FoF70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01994BD3C284DFC0DBF779E58FDBA15C24E7D283B2C2F090CB763B154C41D28F688322F4FAE2708oF7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1994BD3C284DFC0DBF779E58FDBA15C14E7C2934202F090CB763B154C41D28F688322F4FAF260BoF70M" TargetMode="External"/><Relationship Id="rId29" Type="http://schemas.openxmlformats.org/officeDocument/2006/relationships/hyperlink" Target="consultantplus://offline/ref=801994BD3C284DFC0DBF779E58FDBA15C14E7C2934202F090CB763B154C41D28F688322F4FAF260FoF7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94BD3C284DFC0DBF779E58FDBA15C24E7A2432242F090CB763B154C41D28F688322F4FAF2609oF7DM" TargetMode="External"/><Relationship Id="rId11" Type="http://schemas.openxmlformats.org/officeDocument/2006/relationships/hyperlink" Target="consultantplus://offline/ref=801994BD3C284DFC0DBF779E58FDBA15C14E7C2934202F090CB763B154C41D28F688322F4FAF2608oF78M" TargetMode="External"/><Relationship Id="rId24" Type="http://schemas.openxmlformats.org/officeDocument/2006/relationships/hyperlink" Target="consultantplus://offline/ref=801994BD3C284DFC0DBF779E58FDBA15C14E7C2934202F090CB763B154C41D28F688322F4FAF260CoF7BM" TargetMode="External"/><Relationship Id="rId32" Type="http://schemas.openxmlformats.org/officeDocument/2006/relationships/hyperlink" Target="consultantplus://offline/ref=801994BD3C284DFC0DBF779E58FDBA15C14E7C2934202F090CB763B154C41D28F688322F4FAF260EoF7FM" TargetMode="External"/><Relationship Id="rId37" Type="http://schemas.openxmlformats.org/officeDocument/2006/relationships/hyperlink" Target="consultantplus://offline/ref=801994BD3C284DFC0DBF779E58FDBA15C14E7C2934202F090CB763B154C41D28F688322F4FAF2601oF7DM" TargetMode="External"/><Relationship Id="rId40" Type="http://schemas.openxmlformats.org/officeDocument/2006/relationships/hyperlink" Target="consultantplus://offline/ref=801994BD3C284DFC0DBF779E58FDBA15C14E7C2934202F090CB763B154C41D28F688322F4FAF2600oF7CM" TargetMode="External"/><Relationship Id="rId45" Type="http://schemas.openxmlformats.org/officeDocument/2006/relationships/hyperlink" Target="consultantplus://offline/ref=801994BD3C284DFC0DBF779E58FDBA15C14E7C2934202F090CB763B154C41D28F688322F4FAF2709oF70M" TargetMode="External"/><Relationship Id="rId53" Type="http://schemas.openxmlformats.org/officeDocument/2006/relationships/hyperlink" Target="consultantplus://offline/ref=801994BD3C284DFC0DBF779E58FDBA15C14E7C2934202F090CB763B154C41D28F688322F4FAF270AoF7FM" TargetMode="External"/><Relationship Id="rId58" Type="http://schemas.openxmlformats.org/officeDocument/2006/relationships/hyperlink" Target="consultantplus://offline/ref=801994BD3C284DFC0DBF779E58FDBA15C14E7C2934202F090CB763B154C41D28F688322F4FAF270CoF7CM" TargetMode="External"/><Relationship Id="rId66" Type="http://schemas.openxmlformats.org/officeDocument/2006/relationships/hyperlink" Target="consultantplus://offline/ref=801994BD3C284DFC0DBF779E58FDBA15C14E7C2934202F090CB763B154C41D28F688322F4FAF270EoF70M" TargetMode="External"/><Relationship Id="rId5" Type="http://schemas.openxmlformats.org/officeDocument/2006/relationships/hyperlink" Target="consultantplus://offline/ref=801994BD3C284DFC0DBF779E58FDBA15C14E7C2934202F090CB763B154C41D28F688322F4FAF2609oF7DM" TargetMode="External"/><Relationship Id="rId15" Type="http://schemas.openxmlformats.org/officeDocument/2006/relationships/hyperlink" Target="consultantplus://offline/ref=801994BD3C284DFC0DBF779E58FDBA15C24E7A2432242F090CB763B154C41D28F688322F4FAF2609oF71M" TargetMode="External"/><Relationship Id="rId23" Type="http://schemas.openxmlformats.org/officeDocument/2006/relationships/hyperlink" Target="consultantplus://offline/ref=801994BD3C284DFC0DBF779E58FDBA15C14E7C2934202F090CB763B154C41D28F688322F4FAF260DoF71M" TargetMode="External"/><Relationship Id="rId28" Type="http://schemas.openxmlformats.org/officeDocument/2006/relationships/hyperlink" Target="consultantplus://offline/ref=801994BD3C284DFC0DBF779E58FDBA15C14E7C2934202F090CB763B154C41D28F688322F4FAF260FoF7AM" TargetMode="External"/><Relationship Id="rId36" Type="http://schemas.openxmlformats.org/officeDocument/2006/relationships/hyperlink" Target="consultantplus://offline/ref=801994BD3C284DFC0DBF779E58FDBA15C14E7C2934202F090CB763B154C41D28F688322F4FAF2601oF7CM" TargetMode="External"/><Relationship Id="rId49" Type="http://schemas.openxmlformats.org/officeDocument/2006/relationships/hyperlink" Target="consultantplus://offline/ref=801994BD3C284DFC0DBF779E58FDBA15C14E7C2934202F090CB763B154C41D28F688322F4FAF270BoF79M" TargetMode="External"/><Relationship Id="rId57" Type="http://schemas.openxmlformats.org/officeDocument/2006/relationships/hyperlink" Target="consultantplus://offline/ref=801994BD3C284DFC0DBF779E58FDBA15C14E7C2934202F090CB763B154C41D28F688322F4FAF270CoF7BM" TargetMode="External"/><Relationship Id="rId61" Type="http://schemas.openxmlformats.org/officeDocument/2006/relationships/hyperlink" Target="consultantplus://offline/ref=801994BD3C284DFC0DBF779E58FDBA15C14E7C2934202F090CB763B154C41D28F688322F4FAF270FoF78M" TargetMode="External"/><Relationship Id="rId10" Type="http://schemas.openxmlformats.org/officeDocument/2006/relationships/hyperlink" Target="consultantplus://offline/ref=801994BD3C284DFC0DBF779E58FDBA15C14E7C2934202F090CB763B154C41D28F688322F4FAF2609oF71M" TargetMode="External"/><Relationship Id="rId19" Type="http://schemas.openxmlformats.org/officeDocument/2006/relationships/hyperlink" Target="consultantplus://offline/ref=801994BD3C284DFC0DBF779E58FDBA15C14E7C2934202F090CB763B154C41D28F688322F4FAF260AoF7FM" TargetMode="External"/><Relationship Id="rId31" Type="http://schemas.openxmlformats.org/officeDocument/2006/relationships/hyperlink" Target="consultantplus://offline/ref=801994BD3C284DFC0DBF779E58FDBA15C14E7C2934202F090CB763B154C41D28F688322F4FAF260EoF7CM" TargetMode="External"/><Relationship Id="rId44" Type="http://schemas.openxmlformats.org/officeDocument/2006/relationships/hyperlink" Target="consultantplus://offline/ref=801994BD3C284DFC0DBF779E58FDBA15C14E7C2934202F090CB763B154C41D28F688322F4FAF2709oF7FM" TargetMode="External"/><Relationship Id="rId52" Type="http://schemas.openxmlformats.org/officeDocument/2006/relationships/hyperlink" Target="consultantplus://offline/ref=801994BD3C284DFC0DBF779E58FDBA15C14E7C2934202F090CB763B154C41D28F688322F4FAF270AoF7BM" TargetMode="External"/><Relationship Id="rId60" Type="http://schemas.openxmlformats.org/officeDocument/2006/relationships/hyperlink" Target="consultantplus://offline/ref=801994BD3C284DFC0DBF779E58FDBA15C14E7C2934202F090CB763B154C41D28F688322F4FAF270CoF71M" TargetMode="External"/><Relationship Id="rId65" Type="http://schemas.openxmlformats.org/officeDocument/2006/relationships/hyperlink" Target="consultantplus://offline/ref=801994BD3C284DFC0DBF779E58FDBA15C14E7C2934202F090CB763B154C41D28F688322F4FAF270EoF7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994BD3C284DFC0DBF779E58FDBA15C24E7A2432242F090CB763B154C41D28F688322F4FAF2609oF7DM" TargetMode="External"/><Relationship Id="rId14" Type="http://schemas.openxmlformats.org/officeDocument/2006/relationships/hyperlink" Target="consultantplus://offline/ref=801994BD3C284DFC0DBF779E58FDBA15C14E7C2934202F090CB763B154C41D28F688322F4FAF260BoF78M" TargetMode="External"/><Relationship Id="rId22" Type="http://schemas.openxmlformats.org/officeDocument/2006/relationships/hyperlink" Target="consultantplus://offline/ref=801994BD3C284DFC0DBF779E58FDBA15C14E7C2934202F090CB763B154C41D28F688322F4FAF260DoF7EM" TargetMode="External"/><Relationship Id="rId27" Type="http://schemas.openxmlformats.org/officeDocument/2006/relationships/hyperlink" Target="consultantplus://offline/ref=801994BD3C284DFC0DBF779E58FDBA15C14E7C2934202F090CB763B154C41D28F688322F4FAF260FoF79M" TargetMode="External"/><Relationship Id="rId30" Type="http://schemas.openxmlformats.org/officeDocument/2006/relationships/hyperlink" Target="consultantplus://offline/ref=801994BD3C284DFC0DBF779E58FDBA15C14E7C2934202F090CB763B154C41D28F688322F4FAF260EoF78M" TargetMode="External"/><Relationship Id="rId35" Type="http://schemas.openxmlformats.org/officeDocument/2006/relationships/hyperlink" Target="consultantplus://offline/ref=801994BD3C284DFC0DBF779E58FDBA15C14E7C2934202F090CB763B154C41D28F688322F4FAF2601oF7BM" TargetMode="External"/><Relationship Id="rId43" Type="http://schemas.openxmlformats.org/officeDocument/2006/relationships/hyperlink" Target="consultantplus://offline/ref=801994BD3C284DFC0DBF779E58FDBA15C14E7C2934202F090CB763B154C41D28F688322F4FAF2709oF7BM" TargetMode="External"/><Relationship Id="rId48" Type="http://schemas.openxmlformats.org/officeDocument/2006/relationships/hyperlink" Target="consultantplus://offline/ref=801994BD3C284DFC0DBF779E58FDBA15C14E7C2934202F090CB763B154C41D28F688322F4FAF2708oF7FM" TargetMode="External"/><Relationship Id="rId56" Type="http://schemas.openxmlformats.org/officeDocument/2006/relationships/hyperlink" Target="consultantplus://offline/ref=801994BD3C284DFC0DBF779E58FDBA15C14E7C2934202F090CB763B154C41D28F688322F4FAF270DoF71M" TargetMode="External"/><Relationship Id="rId64" Type="http://schemas.openxmlformats.org/officeDocument/2006/relationships/hyperlink" Target="consultantplus://offline/ref=801994BD3C284DFC0DBF779E58FDBA15C14E7C2934202F090CB763B154C41D28F688322F4FAF270EoF7AM" TargetMode="External"/><Relationship Id="rId8" Type="http://schemas.openxmlformats.org/officeDocument/2006/relationships/hyperlink" Target="consultantplus://offline/ref=801994BD3C284DFC0DBF779E58FDBA15C14E7C2934202F090CB763B154C41D28F688322F4FAF2609oF7DM" TargetMode="External"/><Relationship Id="rId51" Type="http://schemas.openxmlformats.org/officeDocument/2006/relationships/hyperlink" Target="consultantplus://offline/ref=801994BD3C284DFC0DBF779E58FDBA15C14E7C2934202F090CB763B154C41D28F688322F4FAF270BoF7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1994BD3C284DFC0DBF779E58FDBA15C14E7C2934202F090CB763B154C41D28F688322F4FAF2608oF7CM" TargetMode="External"/><Relationship Id="rId17" Type="http://schemas.openxmlformats.org/officeDocument/2006/relationships/hyperlink" Target="consultantplus://offline/ref=801994BD3C284DFC0DBF779E58FDBA15C14E7C2934202F090CB763B154C41D28F688322F4FAF260AoF7AM" TargetMode="External"/><Relationship Id="rId25" Type="http://schemas.openxmlformats.org/officeDocument/2006/relationships/hyperlink" Target="consultantplus://offline/ref=801994BD3C284DFC0DBF779E58FDBA15C14E7C2934202F090CB763B154C41D28F688322F4FAF260CoF7FM" TargetMode="External"/><Relationship Id="rId33" Type="http://schemas.openxmlformats.org/officeDocument/2006/relationships/hyperlink" Target="consultantplus://offline/ref=801994BD3C284DFC0DBF779E58FDBA15C14E7C2934202F090CB763B154C41D28F688322F4FAF260EoF70M" TargetMode="External"/><Relationship Id="rId38" Type="http://schemas.openxmlformats.org/officeDocument/2006/relationships/hyperlink" Target="consultantplus://offline/ref=801994BD3C284DFC0DBF779E58FDBA15C14E7C2934202F090CB763B154C41D28F688322F4FAF2601oF7EM" TargetMode="External"/><Relationship Id="rId46" Type="http://schemas.openxmlformats.org/officeDocument/2006/relationships/hyperlink" Target="consultantplus://offline/ref=801994BD3C284DFC0DBF779E58FDBA15C14E7C2934202F090CB763B154C41D28F688322F4FAF2708oF7AM" TargetMode="External"/><Relationship Id="rId59" Type="http://schemas.openxmlformats.org/officeDocument/2006/relationships/hyperlink" Target="consultantplus://offline/ref=801994BD3C284DFC0DBF779E58FDBA15C14E7C2934202F090CB763B154C41D28F688322F4FAF270CoF70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01994BD3C284DFC0DBF779E58FDBA15C14E7C2934202F090CB763B154C41D28F688322F4FAF260AoF70M" TargetMode="External"/><Relationship Id="rId41" Type="http://schemas.openxmlformats.org/officeDocument/2006/relationships/hyperlink" Target="consultantplus://offline/ref=801994BD3C284DFC0DBF779E58FDBA15C14E7C2934202F090CB763B154C41D28F688322F4FAF2600oF70M" TargetMode="External"/><Relationship Id="rId54" Type="http://schemas.openxmlformats.org/officeDocument/2006/relationships/hyperlink" Target="consultantplus://offline/ref=801994BD3C284DFC0DBF779E58FDBA15C14E7C2934202F090CB763B154C41D28F688322F4FAF270DoF79M" TargetMode="External"/><Relationship Id="rId62" Type="http://schemas.openxmlformats.org/officeDocument/2006/relationships/hyperlink" Target="consultantplus://offline/ref=801994BD3C284DFC0DBF779E58FDBA15C14E7C2934202F090CB763B154C41D28F688322F4FAF270FoF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8858</Words>
  <Characters>50492</Characters>
  <Application>Microsoft Office Word</Application>
  <DocSecurity>0</DocSecurity>
  <Lines>420</Lines>
  <Paragraphs>118</Paragraphs>
  <ScaleCrop>false</ScaleCrop>
  <Company/>
  <LinksUpToDate>false</LinksUpToDate>
  <CharactersWithSpaces>59232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2018-03-19T12:59:00Z</dcterms:created>
  <dcterms:modified xsi:type="dcterms:W3CDTF">2018-03-19T12:59:00Z</dcterms:modified>
</cp:coreProperties>
</file>