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B528A2" w:rsidP="000954A2">
      <w:pPr>
        <w:spacing w:before="240"/>
        <w:jc w:val="center"/>
        <w:rPr>
          <w:bCs/>
          <w:sz w:val="36"/>
          <w:szCs w:val="36"/>
        </w:rPr>
      </w:pPr>
      <w:r>
        <w:rPr>
          <w:sz w:val="36"/>
          <w:szCs w:val="36"/>
        </w:rPr>
        <w:t>Абакановского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B528A2">
        <w:rPr>
          <w:rFonts w:eastAsia="Times New Roman"/>
          <w:sz w:val="24"/>
          <w:szCs w:val="24"/>
        </w:rPr>
        <w:t>Абакановского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B528A2">
        <w:rPr>
          <w:sz w:val="24"/>
          <w:szCs w:val="24"/>
        </w:rPr>
        <w:t>Абакановского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B528A2">
        <w:rPr>
          <w:rFonts w:eastAsia="Times New Roman"/>
          <w:sz w:val="24"/>
          <w:szCs w:val="24"/>
        </w:rPr>
        <w:t>Абакановского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B528A2">
        <w:rPr>
          <w:rFonts w:eastAsia="Times New Roman"/>
          <w:sz w:val="24"/>
          <w:szCs w:val="24"/>
        </w:rPr>
        <w:t>Абакановское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B528A2">
        <w:rPr>
          <w:rFonts w:eastAsia="Times New Roman"/>
          <w:sz w:val="24"/>
          <w:szCs w:val="24"/>
        </w:rPr>
        <w:t>Абакановского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B528A2">
        <w:rPr>
          <w:sz w:val="24"/>
          <w:szCs w:val="24"/>
        </w:rPr>
        <w:t>Абакановского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B528A2">
        <w:rPr>
          <w:rFonts w:eastAsia="Times New Roman"/>
          <w:sz w:val="24"/>
          <w:szCs w:val="24"/>
        </w:rPr>
        <w:t>Абакановского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B1635" w:rsidP="0049010C">
            <w:pPr>
              <w:spacing w:after="20"/>
            </w:pPr>
            <w:r w:rsidRPr="00CB1635">
              <w:rPr>
                <w:rFonts w:eastAsia="Times New Roman"/>
              </w:rPr>
              <w:t>с.</w:t>
            </w:r>
            <w:r>
              <w:rPr>
                <w:rFonts w:eastAsia="Times New Roman"/>
              </w:rPr>
              <w:t xml:space="preserve"> </w:t>
            </w:r>
            <w:r w:rsidRPr="00CB1635">
              <w:rPr>
                <w:rFonts w:eastAsia="Times New Roman"/>
              </w:rPr>
              <w:t>Абаканово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B528A2" w:rsidP="00F86D99">
            <w:pPr>
              <w:jc w:val="center"/>
            </w:pPr>
            <w:r>
              <w:t>Абакановского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B528A2" w:rsidP="00F86D99">
            <w:pPr>
              <w:jc w:val="center"/>
            </w:pPr>
            <w:r>
              <w:t>Абакановского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B528A2">
        <w:rPr>
          <w:rFonts w:eastAsia="Times New Roman"/>
          <w:sz w:val="24"/>
          <w:szCs w:val="24"/>
        </w:rPr>
        <w:t>Абакановского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B528A2">
        <w:rPr>
          <w:rFonts w:eastAsia="Times New Roman"/>
          <w:sz w:val="24"/>
          <w:szCs w:val="24"/>
        </w:rPr>
        <w:t>Абакановского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B528A2">
        <w:t>Абакановского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B528A2">
        <w:rPr>
          <w:rFonts w:eastAsia="Times New Roman"/>
          <w:sz w:val="24"/>
          <w:szCs w:val="24"/>
        </w:rPr>
        <w:t>Абакановского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B528A2">
        <w:rPr>
          <w:rFonts w:eastAsia="Times New Roman"/>
          <w:sz w:val="24"/>
          <w:szCs w:val="24"/>
        </w:rPr>
        <w:t>Абакановского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B528A2">
        <w:rPr>
          <w:rFonts w:eastAsia="Times New Roman"/>
          <w:sz w:val="24"/>
          <w:szCs w:val="24"/>
        </w:rPr>
        <w:t>Абакановского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B528A2">
        <w:rPr>
          <w:rFonts w:eastAsia="Times New Roman"/>
          <w:sz w:val="24"/>
          <w:szCs w:val="24"/>
        </w:rPr>
        <w:t>Абакановского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B528A2">
        <w:rPr>
          <w:rFonts w:eastAsia="Times New Roman"/>
          <w:sz w:val="24"/>
          <w:szCs w:val="24"/>
        </w:rPr>
        <w:t>Абакановском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B528A2">
        <w:rPr>
          <w:rFonts w:eastAsia="Times New Roman"/>
          <w:sz w:val="24"/>
          <w:szCs w:val="24"/>
        </w:rPr>
        <w:t>Абакановском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B528A2">
        <w:rPr>
          <w:rFonts w:eastAsia="Times New Roman"/>
        </w:rPr>
        <w:t>Абакановского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B528A2">
        <w:rPr>
          <w:rFonts w:eastAsia="Times New Roman"/>
          <w:sz w:val="24"/>
          <w:szCs w:val="24"/>
        </w:rPr>
        <w:t>Абакановского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B528A2">
        <w:rPr>
          <w:rFonts w:eastAsia="Times New Roman"/>
          <w:sz w:val="24"/>
          <w:szCs w:val="24"/>
        </w:rPr>
        <w:t>Абакановского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B528A2">
        <w:rPr>
          <w:rFonts w:eastAsia="Times New Roman"/>
          <w:sz w:val="24"/>
          <w:szCs w:val="24"/>
        </w:rPr>
        <w:t>Абакановского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B528A2">
        <w:rPr>
          <w:rFonts w:eastAsia="Times New Roman"/>
          <w:sz w:val="24"/>
          <w:szCs w:val="24"/>
        </w:rPr>
        <w:t>Абакановского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B528A2">
        <w:rPr>
          <w:rFonts w:eastAsia="Times New Roman"/>
          <w:sz w:val="24"/>
          <w:szCs w:val="24"/>
        </w:rPr>
        <w:t>Абакановского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B528A2">
        <w:rPr>
          <w:rFonts w:eastAsia="Times New Roman"/>
          <w:sz w:val="24"/>
          <w:szCs w:val="24"/>
        </w:rPr>
        <w:t>Абакановского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B528A2">
        <w:rPr>
          <w:rFonts w:eastAsia="Times New Roman"/>
          <w:sz w:val="24"/>
          <w:szCs w:val="24"/>
        </w:rPr>
        <w:t>Абакановского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B528A2">
        <w:rPr>
          <w:rFonts w:eastAsia="Times New Roman"/>
          <w:sz w:val="24"/>
          <w:szCs w:val="24"/>
        </w:rPr>
        <w:t>Абакановского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B528A2">
        <w:rPr>
          <w:rFonts w:eastAsia="Times New Roman"/>
          <w:sz w:val="24"/>
          <w:szCs w:val="24"/>
        </w:rPr>
        <w:t>Абакановского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B528A2">
        <w:rPr>
          <w:rFonts w:eastAsia="Times New Roman"/>
          <w:sz w:val="24"/>
          <w:szCs w:val="24"/>
        </w:rPr>
        <w:t>Абакановского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B528A2">
        <w:rPr>
          <w:rFonts w:eastAsia="Times New Roman"/>
          <w:sz w:val="24"/>
          <w:szCs w:val="24"/>
        </w:rPr>
        <w:t>Абакановского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B528A2">
        <w:rPr>
          <w:rFonts w:eastAsia="Times New Roman"/>
          <w:sz w:val="24"/>
          <w:szCs w:val="24"/>
        </w:rPr>
        <w:t>Абакановского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B528A2">
        <w:rPr>
          <w:rFonts w:eastAsia="Times New Roman"/>
          <w:sz w:val="24"/>
          <w:szCs w:val="24"/>
        </w:rPr>
        <w:t>Абакановского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B528A2">
        <w:rPr>
          <w:rFonts w:eastAsia="Times New Roman"/>
          <w:sz w:val="24"/>
          <w:szCs w:val="24"/>
        </w:rPr>
        <w:t>Абакановского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B528A2">
        <w:rPr>
          <w:rFonts w:eastAsia="Times New Roman"/>
          <w:sz w:val="24"/>
          <w:szCs w:val="24"/>
        </w:rPr>
        <w:t>Абакановского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Pr="00754545" w:rsidRDefault="00CB1635" w:rsidP="003A22B5">
      <w:pPr>
        <w:spacing w:line="256" w:lineRule="auto"/>
        <w:ind w:firstLine="426"/>
        <w:jc w:val="both"/>
        <w:rPr>
          <w:rFonts w:eastAsia="Times New Roman"/>
          <w:sz w:val="24"/>
          <w:szCs w:val="24"/>
        </w:rPr>
      </w:pPr>
      <w:r w:rsidRPr="00CB1635">
        <w:rPr>
          <w:rFonts w:eastAsia="Times New Roman"/>
          <w:sz w:val="24"/>
          <w:szCs w:val="24"/>
        </w:rPr>
        <w:t>Абакановское сельское поселение расположено в северо-западной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B528A2">
        <w:rPr>
          <w:rFonts w:eastAsia="Times New Roman"/>
          <w:sz w:val="24"/>
          <w:szCs w:val="24"/>
        </w:rPr>
        <w:t>Абакановского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CB1635">
        <w:rPr>
          <w:rFonts w:eastAsia="Times New Roman"/>
          <w:sz w:val="24"/>
          <w:szCs w:val="24"/>
        </w:rPr>
        <w:t>49</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B528A2">
        <w:rPr>
          <w:rFonts w:eastAsia="Times New Roman"/>
          <w:sz w:val="24"/>
          <w:szCs w:val="24"/>
        </w:rPr>
        <w:t>Абакановского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474378">
        <w:rPr>
          <w:rFonts w:eastAsia="Times New Roman"/>
          <w:sz w:val="24"/>
          <w:szCs w:val="24"/>
        </w:rPr>
        <w:t>2656</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B528A2">
        <w:rPr>
          <w:rFonts w:eastAsia="Times New Roman"/>
          <w:sz w:val="24"/>
          <w:szCs w:val="24"/>
        </w:rPr>
        <w:t>Абакановского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B528A2">
        <w:rPr>
          <w:rFonts w:eastAsia="Times New Roman"/>
          <w:sz w:val="24"/>
          <w:szCs w:val="24"/>
        </w:rPr>
        <w:t>Абакановского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B528A2">
        <w:rPr>
          <w:rFonts w:eastAsia="Times New Roman"/>
          <w:sz w:val="24"/>
          <w:szCs w:val="24"/>
        </w:rPr>
        <w:t>Абакановского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474378" w:rsidP="00336416">
            <w:pPr>
              <w:jc w:val="center"/>
            </w:pPr>
            <w:r>
              <w:t>2808</w:t>
            </w:r>
          </w:p>
        </w:tc>
        <w:tc>
          <w:tcPr>
            <w:tcW w:w="504" w:type="pct"/>
            <w:tcBorders>
              <w:bottom w:val="single" w:sz="8" w:space="0" w:color="auto"/>
              <w:right w:val="single" w:sz="8" w:space="0" w:color="auto"/>
            </w:tcBorders>
            <w:vAlign w:val="center"/>
          </w:tcPr>
          <w:p w:rsidR="00336416" w:rsidRPr="00336416" w:rsidRDefault="00474378" w:rsidP="00336416">
            <w:pPr>
              <w:jc w:val="center"/>
            </w:pPr>
            <w:r>
              <w:t>2764</w:t>
            </w:r>
          </w:p>
        </w:tc>
        <w:tc>
          <w:tcPr>
            <w:tcW w:w="504" w:type="pct"/>
            <w:tcBorders>
              <w:bottom w:val="single" w:sz="8" w:space="0" w:color="auto"/>
              <w:right w:val="single" w:sz="8" w:space="0" w:color="auto"/>
            </w:tcBorders>
            <w:vAlign w:val="center"/>
          </w:tcPr>
          <w:p w:rsidR="00336416" w:rsidRPr="00336416" w:rsidRDefault="00474378" w:rsidP="00336416">
            <w:pPr>
              <w:jc w:val="center"/>
            </w:pPr>
            <w:r>
              <w:t>2740</w:t>
            </w:r>
          </w:p>
        </w:tc>
        <w:tc>
          <w:tcPr>
            <w:tcW w:w="504" w:type="pct"/>
            <w:tcBorders>
              <w:bottom w:val="single" w:sz="8" w:space="0" w:color="auto"/>
              <w:right w:val="single" w:sz="8" w:space="0" w:color="auto"/>
            </w:tcBorders>
            <w:vAlign w:val="center"/>
          </w:tcPr>
          <w:p w:rsidR="00336416" w:rsidRPr="00336416" w:rsidRDefault="00474378" w:rsidP="00336416">
            <w:pPr>
              <w:jc w:val="center"/>
            </w:pPr>
            <w:r>
              <w:t>2680</w:t>
            </w:r>
          </w:p>
        </w:tc>
        <w:tc>
          <w:tcPr>
            <w:tcW w:w="505" w:type="pct"/>
            <w:tcBorders>
              <w:bottom w:val="single" w:sz="8" w:space="0" w:color="auto"/>
              <w:right w:val="single" w:sz="8" w:space="0" w:color="auto"/>
            </w:tcBorders>
            <w:vAlign w:val="center"/>
          </w:tcPr>
          <w:p w:rsidR="00336416" w:rsidRPr="00336416" w:rsidRDefault="00474378" w:rsidP="00336416">
            <w:pPr>
              <w:jc w:val="center"/>
            </w:pPr>
            <w:r>
              <w:t>2656</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474378" w:rsidTr="0049010C">
        <w:trPr>
          <w:trHeight w:val="254"/>
        </w:trPr>
        <w:tc>
          <w:tcPr>
            <w:tcW w:w="2335" w:type="pct"/>
            <w:tcBorders>
              <w:left w:val="single" w:sz="8" w:space="0" w:color="auto"/>
              <w:bottom w:val="single" w:sz="8" w:space="0" w:color="auto"/>
              <w:right w:val="single" w:sz="8" w:space="0" w:color="auto"/>
            </w:tcBorders>
            <w:vAlign w:val="bottom"/>
          </w:tcPr>
          <w:p w:rsidR="00474378" w:rsidRDefault="00474378"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474378" w:rsidRPr="00336416" w:rsidRDefault="00474378" w:rsidP="00256C44">
            <w:pPr>
              <w:jc w:val="center"/>
            </w:pPr>
            <w:r>
              <w:t>2808</w:t>
            </w:r>
          </w:p>
        </w:tc>
        <w:tc>
          <w:tcPr>
            <w:tcW w:w="306" w:type="pct"/>
            <w:tcBorders>
              <w:bottom w:val="single" w:sz="8" w:space="0" w:color="auto"/>
              <w:right w:val="single" w:sz="8" w:space="0" w:color="auto"/>
            </w:tcBorders>
            <w:vAlign w:val="center"/>
          </w:tcPr>
          <w:p w:rsidR="00474378" w:rsidRPr="00336416" w:rsidRDefault="00474378" w:rsidP="00256C44">
            <w:pPr>
              <w:jc w:val="center"/>
            </w:pPr>
            <w:r>
              <w:t>2764</w:t>
            </w:r>
          </w:p>
        </w:tc>
        <w:tc>
          <w:tcPr>
            <w:tcW w:w="306" w:type="pct"/>
            <w:tcBorders>
              <w:bottom w:val="single" w:sz="8" w:space="0" w:color="auto"/>
              <w:right w:val="single" w:sz="8" w:space="0" w:color="auto"/>
            </w:tcBorders>
            <w:vAlign w:val="center"/>
          </w:tcPr>
          <w:p w:rsidR="00474378" w:rsidRPr="00336416" w:rsidRDefault="00474378" w:rsidP="00256C44">
            <w:pPr>
              <w:jc w:val="center"/>
            </w:pPr>
            <w:r>
              <w:t>2740</w:t>
            </w:r>
          </w:p>
        </w:tc>
        <w:tc>
          <w:tcPr>
            <w:tcW w:w="306" w:type="pct"/>
            <w:tcBorders>
              <w:bottom w:val="single" w:sz="8" w:space="0" w:color="auto"/>
              <w:right w:val="single" w:sz="8" w:space="0" w:color="auto"/>
            </w:tcBorders>
            <w:vAlign w:val="center"/>
          </w:tcPr>
          <w:p w:rsidR="00474378" w:rsidRPr="00336416" w:rsidRDefault="00474378" w:rsidP="00256C44">
            <w:pPr>
              <w:jc w:val="center"/>
            </w:pPr>
            <w:r>
              <w:t>2680</w:t>
            </w:r>
          </w:p>
        </w:tc>
        <w:tc>
          <w:tcPr>
            <w:tcW w:w="306" w:type="pct"/>
            <w:tcBorders>
              <w:bottom w:val="single" w:sz="8" w:space="0" w:color="auto"/>
              <w:right w:val="single" w:sz="8" w:space="0" w:color="auto"/>
            </w:tcBorders>
            <w:vAlign w:val="center"/>
          </w:tcPr>
          <w:p w:rsidR="00474378" w:rsidRPr="00336416" w:rsidRDefault="00474378" w:rsidP="00256C44">
            <w:pPr>
              <w:jc w:val="center"/>
            </w:pPr>
            <w:r>
              <w:t>2656</w:t>
            </w:r>
          </w:p>
        </w:tc>
        <w:tc>
          <w:tcPr>
            <w:tcW w:w="1112" w:type="pct"/>
            <w:tcBorders>
              <w:bottom w:val="single" w:sz="8" w:space="0" w:color="auto"/>
              <w:right w:val="single" w:sz="8" w:space="0" w:color="auto"/>
            </w:tcBorders>
          </w:tcPr>
          <w:p w:rsidR="00474378" w:rsidRDefault="00474378" w:rsidP="00C1266F">
            <w:pPr>
              <w:jc w:val="center"/>
            </w:pPr>
            <w:r>
              <w:t>5850</w:t>
            </w:r>
          </w:p>
        </w:tc>
        <w:tc>
          <w:tcPr>
            <w:tcW w:w="15" w:type="pct"/>
            <w:vAlign w:val="bottom"/>
          </w:tcPr>
          <w:p w:rsidR="00474378" w:rsidRDefault="00474378" w:rsidP="00C1266F"/>
        </w:tc>
        <w:tc>
          <w:tcPr>
            <w:tcW w:w="8" w:type="pct"/>
            <w:vAlign w:val="bottom"/>
          </w:tcPr>
          <w:p w:rsidR="00474378" w:rsidRDefault="00474378"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lastRenderedPageBreak/>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B528A2">
        <w:rPr>
          <w:rFonts w:eastAsia="Times New Roman"/>
          <w:sz w:val="24"/>
          <w:szCs w:val="24"/>
        </w:rPr>
        <w:t>Абакановского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B528A2">
        <w:rPr>
          <w:rFonts w:eastAsia="Times New Roman"/>
          <w:sz w:val="24"/>
          <w:szCs w:val="24"/>
        </w:rPr>
        <w:t>Абакановского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B528A2">
        <w:rPr>
          <w:rFonts w:eastAsia="Times New Roman"/>
          <w:sz w:val="24"/>
          <w:szCs w:val="24"/>
        </w:rPr>
        <w:t>Абакановского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B528A2">
        <w:rPr>
          <w:rFonts w:eastAsia="Times New Roman"/>
          <w:sz w:val="24"/>
          <w:szCs w:val="24"/>
        </w:rPr>
        <w:t>Абакановском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B528A2">
        <w:rPr>
          <w:rFonts w:eastAsia="Times New Roman"/>
          <w:sz w:val="24"/>
          <w:szCs w:val="24"/>
        </w:rPr>
        <w:t>Абакановского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B528A2">
        <w:rPr>
          <w:rFonts w:eastAsia="Times New Roman"/>
          <w:sz w:val="24"/>
          <w:szCs w:val="24"/>
        </w:rPr>
        <w:t>Абакановского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B528A2">
        <w:rPr>
          <w:rFonts w:eastAsia="Times New Roman"/>
          <w:sz w:val="24"/>
          <w:szCs w:val="24"/>
        </w:rPr>
        <w:t>Абакановского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B528A2">
        <w:rPr>
          <w:rFonts w:eastAsia="Times New Roman"/>
          <w:sz w:val="24"/>
          <w:szCs w:val="24"/>
        </w:rPr>
        <w:t>Абакановского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B528A2">
        <w:rPr>
          <w:rFonts w:eastAsia="Times New Roman"/>
          <w:sz w:val="24"/>
          <w:szCs w:val="24"/>
        </w:rPr>
        <w:t>Абакановского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19118"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19119"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B528A2">
        <w:rPr>
          <w:rFonts w:eastAsia="Times New Roman"/>
          <w:sz w:val="24"/>
          <w:szCs w:val="24"/>
        </w:rPr>
        <w:t>Абакановского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B528A2">
        <w:rPr>
          <w:rFonts w:eastAsia="Times New Roman"/>
          <w:sz w:val="24"/>
          <w:szCs w:val="24"/>
        </w:rPr>
        <w:t>Абакановского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B528A2">
        <w:rPr>
          <w:rFonts w:eastAsia="Times New Roman"/>
          <w:sz w:val="24"/>
          <w:szCs w:val="24"/>
        </w:rPr>
        <w:t>Абакановского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B528A2">
        <w:rPr>
          <w:rFonts w:eastAsia="Times New Roman"/>
          <w:sz w:val="24"/>
          <w:szCs w:val="24"/>
        </w:rPr>
        <w:t>Абакановского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B528A2">
        <w:rPr>
          <w:rFonts w:eastAsia="Times New Roman"/>
          <w:sz w:val="24"/>
          <w:szCs w:val="24"/>
        </w:rPr>
        <w:t>Абакановского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35" w:rsidRDefault="00CB1635" w:rsidP="00D655DF">
      <w:r>
        <w:separator/>
      </w:r>
    </w:p>
  </w:endnote>
  <w:endnote w:type="continuationSeparator" w:id="1">
    <w:p w:rsidR="00CB1635" w:rsidRDefault="00CB1635"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CB1635" w:rsidRDefault="00CB1635">
        <w:pPr>
          <w:pStyle w:val="a7"/>
          <w:jc w:val="right"/>
        </w:pPr>
        <w:fldSimple w:instr=" PAGE   \* MERGEFORMAT ">
          <w:r w:rsidR="00474378">
            <w:rPr>
              <w:noProof/>
            </w:rPr>
            <w:t>146</w:t>
          </w:r>
        </w:fldSimple>
      </w:p>
    </w:sdtContent>
  </w:sdt>
  <w:p w:rsidR="00CB1635" w:rsidRDefault="00CB16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35" w:rsidRDefault="00CB1635" w:rsidP="00D655DF">
      <w:r>
        <w:separator/>
      </w:r>
    </w:p>
  </w:footnote>
  <w:footnote w:type="continuationSeparator" w:id="1">
    <w:p w:rsidR="00CB1635" w:rsidRDefault="00CB1635"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204</Pages>
  <Words>73775</Words>
  <Characters>420520</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57</cp:revision>
  <cp:lastPrinted>2018-01-15T06:18:00Z</cp:lastPrinted>
  <dcterms:created xsi:type="dcterms:W3CDTF">2018-01-09T13:16:00Z</dcterms:created>
  <dcterms:modified xsi:type="dcterms:W3CDTF">2018-01-22T06:39:00Z</dcterms:modified>
</cp:coreProperties>
</file>