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C8511D" w:rsidP="000954A2">
      <w:pPr>
        <w:spacing w:before="240"/>
        <w:jc w:val="center"/>
        <w:rPr>
          <w:bCs/>
          <w:sz w:val="36"/>
          <w:szCs w:val="36"/>
        </w:rPr>
      </w:pPr>
      <w:r>
        <w:rPr>
          <w:sz w:val="36"/>
          <w:szCs w:val="36"/>
        </w:rPr>
        <w:t>Яргомжского</w:t>
      </w:r>
      <w:r w:rsidR="000954A2" w:rsidRPr="004A7230">
        <w:rPr>
          <w:sz w:val="36"/>
          <w:szCs w:val="36"/>
        </w:rPr>
        <w:t xml:space="preserve"> </w:t>
      </w:r>
      <w:r w:rsidR="000954A2">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C8511D">
        <w:rPr>
          <w:rFonts w:eastAsia="Times New Roman"/>
          <w:sz w:val="24"/>
          <w:szCs w:val="24"/>
        </w:rPr>
        <w:t>Яргомжского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C8511D">
        <w:rPr>
          <w:sz w:val="24"/>
          <w:szCs w:val="24"/>
        </w:rPr>
        <w:t>Яргомжского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C8511D">
        <w:rPr>
          <w:rFonts w:eastAsia="Times New Roman"/>
          <w:sz w:val="24"/>
          <w:szCs w:val="24"/>
        </w:rPr>
        <w:t>Яргомжского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C8511D">
        <w:rPr>
          <w:rFonts w:eastAsia="Times New Roman"/>
          <w:sz w:val="24"/>
          <w:szCs w:val="24"/>
        </w:rPr>
        <w:t>Яргомжское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C8511D">
        <w:rPr>
          <w:rFonts w:eastAsia="Times New Roman"/>
          <w:sz w:val="24"/>
          <w:szCs w:val="24"/>
        </w:rPr>
        <w:t>Яргомжского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C8511D">
        <w:rPr>
          <w:sz w:val="24"/>
          <w:szCs w:val="24"/>
        </w:rPr>
        <w:t>Яргомжского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C8511D">
        <w:rPr>
          <w:rFonts w:eastAsia="Times New Roman"/>
          <w:sz w:val="24"/>
          <w:szCs w:val="24"/>
        </w:rPr>
        <w:t>Яргомжского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49010C" w:rsidP="00C8511D">
            <w:pPr>
              <w:spacing w:after="20"/>
            </w:pPr>
            <w:r>
              <w:rPr>
                <w:rFonts w:eastAsia="Times New Roman"/>
              </w:rPr>
              <w:t xml:space="preserve">д. </w:t>
            </w:r>
            <w:r w:rsidR="00C8511D">
              <w:rPr>
                <w:rFonts w:eastAsia="Times New Roman"/>
              </w:rPr>
              <w:t>Ботово</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C8511D" w:rsidP="00F86D99">
            <w:pPr>
              <w:jc w:val="center"/>
            </w:pPr>
            <w:r>
              <w:t>Яргомжского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C8511D" w:rsidP="00F86D99">
            <w:pPr>
              <w:jc w:val="center"/>
            </w:pPr>
            <w:r>
              <w:t>Яргомжского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r w:rsidR="00F86D99" w:rsidRPr="00563D08">
              <w:t>фельдшерско-</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C8511D">
        <w:rPr>
          <w:rFonts w:eastAsia="Times New Roman"/>
          <w:sz w:val="24"/>
          <w:szCs w:val="24"/>
        </w:rPr>
        <w:t>Яргомжского</w:t>
      </w:r>
      <w:r w:rsidRPr="00122A93">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справочно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ед. изм.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C8511D">
        <w:rPr>
          <w:rFonts w:eastAsia="Times New Roman"/>
          <w:sz w:val="24"/>
          <w:szCs w:val="24"/>
        </w:rPr>
        <w:t>Яргомжского</w:t>
      </w:r>
      <w:r w:rsidRPr="00122A93">
        <w:rPr>
          <w:rFonts w:eastAsia="Times New Roman"/>
          <w:sz w:val="24"/>
          <w:szCs w:val="24"/>
        </w:rPr>
        <w:t xml:space="preserve"> сельского поселения, </w:t>
      </w:r>
      <w:r>
        <w:rPr>
          <w:rFonts w:eastAsia="Times New Roman"/>
          <w:sz w:val="24"/>
          <w:szCs w:val="24"/>
        </w:rPr>
        <w:t xml:space="preserve">относятся к полномочиям органов местного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справочно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r>
              <w:rPr>
                <w:rFonts w:eastAsia="Times New Roman"/>
              </w:rPr>
              <w:t>фельдшерско-</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C8511D">
        <w:t>Яргомжского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lastRenderedPageBreak/>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C8511D">
        <w:rPr>
          <w:rFonts w:eastAsia="Times New Roman"/>
          <w:sz w:val="24"/>
          <w:szCs w:val="24"/>
        </w:rPr>
        <w:t>Яргомжского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C8511D">
        <w:rPr>
          <w:rFonts w:eastAsia="Times New Roman"/>
          <w:sz w:val="24"/>
          <w:szCs w:val="24"/>
        </w:rPr>
        <w:t>Яргомжского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C8511D">
        <w:rPr>
          <w:rFonts w:eastAsia="Times New Roman"/>
          <w:sz w:val="24"/>
          <w:szCs w:val="24"/>
        </w:rPr>
        <w:t>Яргомжского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C8511D">
        <w:rPr>
          <w:rFonts w:eastAsia="Times New Roman"/>
          <w:sz w:val="24"/>
          <w:szCs w:val="24"/>
        </w:rPr>
        <w:t>Яргомжского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C8511D">
        <w:rPr>
          <w:rFonts w:eastAsia="Times New Roman"/>
          <w:sz w:val="24"/>
          <w:szCs w:val="24"/>
        </w:rPr>
        <w:t>Яргомжском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C8511D">
        <w:rPr>
          <w:rFonts w:eastAsia="Times New Roman"/>
          <w:sz w:val="24"/>
          <w:szCs w:val="24"/>
        </w:rPr>
        <w:t>Яргомжском</w:t>
      </w:r>
      <w:r w:rsidR="00C223ED" w:rsidRPr="003B5EFA">
        <w:rPr>
          <w:rFonts w:eastAsia="Times New Roman"/>
          <w:sz w:val="24"/>
          <w:szCs w:val="24"/>
        </w:rPr>
        <w:t>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C8511D">
        <w:rPr>
          <w:rFonts w:eastAsia="Times New Roman"/>
        </w:rPr>
        <w:t>Яргомжского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C8511D">
        <w:rPr>
          <w:rFonts w:eastAsia="Times New Roman"/>
          <w:sz w:val="24"/>
          <w:szCs w:val="24"/>
        </w:rPr>
        <w:t>Яргомжского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C8511D">
        <w:rPr>
          <w:rFonts w:eastAsia="Times New Roman"/>
          <w:sz w:val="24"/>
          <w:szCs w:val="24"/>
        </w:rPr>
        <w:t>Яргомжского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C8511D">
        <w:rPr>
          <w:rFonts w:eastAsia="Times New Roman"/>
          <w:sz w:val="24"/>
          <w:szCs w:val="24"/>
        </w:rPr>
        <w:t>Яргомжского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C8511D">
        <w:rPr>
          <w:rFonts w:eastAsia="Times New Roman"/>
          <w:sz w:val="24"/>
          <w:szCs w:val="24"/>
        </w:rPr>
        <w:t>Яргомжского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C8511D">
        <w:rPr>
          <w:rFonts w:eastAsia="Times New Roman"/>
          <w:sz w:val="24"/>
          <w:szCs w:val="24"/>
        </w:rPr>
        <w:t>Яргомжского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пассажирообразующий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C8511D">
        <w:rPr>
          <w:rFonts w:eastAsia="Times New Roman"/>
          <w:sz w:val="24"/>
          <w:szCs w:val="24"/>
        </w:rPr>
        <w:t>Яргомжского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C8511D">
        <w:rPr>
          <w:rFonts w:eastAsia="Times New Roman"/>
          <w:sz w:val="24"/>
          <w:szCs w:val="24"/>
        </w:rPr>
        <w:t>Яргомжского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C8511D">
        <w:rPr>
          <w:rFonts w:eastAsia="Times New Roman"/>
          <w:sz w:val="24"/>
          <w:szCs w:val="24"/>
        </w:rPr>
        <w:t>Яргомжского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C8511D">
        <w:rPr>
          <w:rFonts w:eastAsia="Times New Roman"/>
          <w:sz w:val="24"/>
          <w:szCs w:val="24"/>
        </w:rPr>
        <w:t>Яргомжского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C8511D">
        <w:rPr>
          <w:rFonts w:eastAsia="Times New Roman"/>
          <w:sz w:val="24"/>
          <w:szCs w:val="24"/>
        </w:rPr>
        <w:t>Яргомжского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C8511D">
        <w:rPr>
          <w:rFonts w:eastAsia="Times New Roman"/>
          <w:sz w:val="24"/>
          <w:szCs w:val="24"/>
        </w:rPr>
        <w:t>Яргомжского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lastRenderedPageBreak/>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C8511D">
        <w:rPr>
          <w:rFonts w:eastAsia="Times New Roman"/>
          <w:sz w:val="24"/>
          <w:szCs w:val="24"/>
        </w:rPr>
        <w:t>Яргомжского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C8511D">
        <w:rPr>
          <w:rFonts w:eastAsia="Times New Roman"/>
          <w:sz w:val="24"/>
          <w:szCs w:val="24"/>
        </w:rPr>
        <w:t>Яргомжского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C8511D">
        <w:rPr>
          <w:rFonts w:eastAsia="Times New Roman"/>
          <w:sz w:val="24"/>
          <w:szCs w:val="24"/>
        </w:rPr>
        <w:t>Яргомжского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C8511D">
        <w:rPr>
          <w:rFonts w:eastAsia="Times New Roman"/>
          <w:sz w:val="24"/>
          <w:szCs w:val="24"/>
        </w:rPr>
        <w:t>Яргомжского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754545" w:rsidP="003A22B5">
      <w:pPr>
        <w:spacing w:line="256" w:lineRule="auto"/>
        <w:ind w:firstLine="426"/>
        <w:jc w:val="both"/>
        <w:rPr>
          <w:rFonts w:eastAsia="Times New Roman"/>
          <w:sz w:val="24"/>
          <w:szCs w:val="24"/>
        </w:rPr>
      </w:pPr>
      <w:r w:rsidRPr="00754545">
        <w:rPr>
          <w:rFonts w:eastAsia="Times New Roman"/>
          <w:sz w:val="24"/>
          <w:szCs w:val="24"/>
        </w:rPr>
        <w:t xml:space="preserve">Территория занимаемая </w:t>
      </w:r>
      <w:r w:rsidR="00C8511D">
        <w:rPr>
          <w:rFonts w:eastAsia="Times New Roman"/>
          <w:sz w:val="24"/>
          <w:szCs w:val="24"/>
        </w:rPr>
        <w:t>Яргомжским</w:t>
      </w:r>
      <w:r w:rsidRPr="00754545">
        <w:rPr>
          <w:rFonts w:eastAsia="Times New Roman"/>
          <w:sz w:val="24"/>
          <w:szCs w:val="24"/>
        </w:rPr>
        <w:t xml:space="preserve"> сельским поселением расположена в </w:t>
      </w:r>
      <w:r w:rsidR="00C8511D">
        <w:rPr>
          <w:rFonts w:eastAsia="Times New Roman"/>
          <w:sz w:val="24"/>
          <w:szCs w:val="24"/>
        </w:rPr>
        <w:t xml:space="preserve">центральной </w:t>
      </w:r>
      <w:r w:rsidR="003620CD">
        <w:rPr>
          <w:rFonts w:eastAsia="Times New Roman"/>
          <w:sz w:val="24"/>
          <w:szCs w:val="24"/>
        </w:rPr>
        <w:t>части</w:t>
      </w:r>
      <w:r w:rsidRPr="00754545">
        <w:rPr>
          <w:rFonts w:eastAsia="Times New Roman"/>
          <w:sz w:val="24"/>
          <w:szCs w:val="24"/>
        </w:rPr>
        <w:t xml:space="preserve"> Череповецкого района</w:t>
      </w:r>
      <w:r w:rsidR="00C8511D">
        <w:rPr>
          <w:rFonts w:eastAsia="Times New Roman"/>
          <w:sz w:val="24"/>
          <w:szCs w:val="24"/>
        </w:rPr>
        <w:t>.</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C8511D">
        <w:rPr>
          <w:rFonts w:eastAsia="Times New Roman"/>
          <w:sz w:val="24"/>
          <w:szCs w:val="24"/>
        </w:rPr>
        <w:t>Яргомжского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C8511D">
        <w:rPr>
          <w:rFonts w:eastAsia="Times New Roman"/>
          <w:sz w:val="24"/>
          <w:szCs w:val="24"/>
        </w:rPr>
        <w:t>11</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C8511D">
        <w:rPr>
          <w:rFonts w:eastAsia="Times New Roman"/>
          <w:sz w:val="24"/>
          <w:szCs w:val="24"/>
        </w:rPr>
        <w:t>Яргомжского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754545">
        <w:rPr>
          <w:rFonts w:eastAsia="Times New Roman"/>
          <w:sz w:val="24"/>
          <w:szCs w:val="24"/>
        </w:rPr>
        <w:t>2</w:t>
      </w:r>
      <w:r w:rsidR="00C8511D">
        <w:rPr>
          <w:rFonts w:eastAsia="Times New Roman"/>
          <w:sz w:val="24"/>
          <w:szCs w:val="24"/>
        </w:rPr>
        <w:t>952</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C8511D">
        <w:rPr>
          <w:rFonts w:eastAsia="Times New Roman"/>
          <w:sz w:val="24"/>
          <w:szCs w:val="24"/>
        </w:rPr>
        <w:t>Яргомжского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r w:rsidR="00C8511D">
              <w:rPr>
                <w:b/>
              </w:rPr>
              <w:t>Яргомжского</w:t>
            </w:r>
            <w:r w:rsidRPr="00CD60D1">
              <w:rPr>
                <w:b/>
              </w:rPr>
              <w:t xml:space="preserve"> сельского поселения,</w:t>
            </w:r>
          </w:p>
          <w:p w:rsidR="003A22B5" w:rsidRPr="00CD60D1" w:rsidRDefault="003A22B5" w:rsidP="00754545">
            <w:pPr>
              <w:jc w:val="center"/>
              <w:rPr>
                <w:b/>
              </w:rPr>
            </w:pPr>
            <w:r w:rsidRPr="00CD60D1">
              <w:rPr>
                <w:b/>
              </w:rPr>
              <w:t xml:space="preserve">входящего в состав Череповецкого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8511D" w:rsidRPr="00CD60D1" w:rsidTr="00754545">
        <w:trPr>
          <w:trHeight w:val="244"/>
        </w:trPr>
        <w:tc>
          <w:tcPr>
            <w:tcW w:w="983" w:type="pct"/>
            <w:tcBorders>
              <w:left w:val="single" w:sz="8" w:space="0" w:color="auto"/>
              <w:bottom w:val="single" w:sz="8" w:space="0" w:color="auto"/>
              <w:right w:val="single" w:sz="8" w:space="0" w:color="auto"/>
            </w:tcBorders>
          </w:tcPr>
          <w:p w:rsidR="00C8511D" w:rsidRPr="00CD60D1" w:rsidRDefault="00C8511D" w:rsidP="00C8511D">
            <w:pPr>
              <w:spacing w:after="20" w:line="244" w:lineRule="exact"/>
              <w:ind w:left="120"/>
            </w:pPr>
            <w:r w:rsidRPr="00CD60D1">
              <w:t xml:space="preserve">д. </w:t>
            </w:r>
            <w:r>
              <w:t xml:space="preserve">Ботово  </w:t>
            </w:r>
          </w:p>
        </w:tc>
        <w:tc>
          <w:tcPr>
            <w:tcW w:w="529" w:type="pct"/>
            <w:tcBorders>
              <w:bottom w:val="single" w:sz="8" w:space="0" w:color="auto"/>
              <w:right w:val="single" w:sz="4" w:space="0" w:color="auto"/>
            </w:tcBorders>
            <w:vAlign w:val="bottom"/>
          </w:tcPr>
          <w:p w:rsidR="00C8511D" w:rsidRPr="00CD60D1" w:rsidRDefault="00C8511D" w:rsidP="00754545">
            <w:pPr>
              <w:spacing w:line="230" w:lineRule="exact"/>
              <w:jc w:val="center"/>
            </w:pPr>
          </w:p>
        </w:tc>
        <w:tc>
          <w:tcPr>
            <w:tcW w:w="528" w:type="pct"/>
            <w:tcBorders>
              <w:bottom w:val="single" w:sz="8" w:space="0" w:color="auto"/>
              <w:right w:val="single" w:sz="4" w:space="0" w:color="auto"/>
            </w:tcBorders>
            <w:vAlign w:val="bottom"/>
          </w:tcPr>
          <w:p w:rsidR="00C8511D" w:rsidRPr="00CD60D1" w:rsidRDefault="00C8511D"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C8511D" w:rsidRPr="00CD60D1" w:rsidRDefault="00C8511D" w:rsidP="00754545">
            <w:pPr>
              <w:spacing w:line="230" w:lineRule="exact"/>
              <w:jc w:val="center"/>
            </w:pPr>
            <w:r w:rsidRPr="00CD60D1">
              <w:rPr>
                <w:rFonts w:ascii="Wingdings 2" w:eastAsia="Wingdings 2" w:hAnsi="Wingdings 2" w:cs="Wingdings 2"/>
                <w:w w:val="91"/>
              </w:rPr>
              <w:t></w:t>
            </w:r>
          </w:p>
        </w:tc>
        <w:tc>
          <w:tcPr>
            <w:tcW w:w="475" w:type="pct"/>
            <w:tcBorders>
              <w:bottom w:val="single" w:sz="8" w:space="0" w:color="auto"/>
              <w:right w:val="single" w:sz="8" w:space="0" w:color="auto"/>
            </w:tcBorders>
            <w:vAlign w:val="bottom"/>
          </w:tcPr>
          <w:p w:rsidR="00C8511D" w:rsidRPr="00CD60D1" w:rsidRDefault="00C8511D" w:rsidP="00754545"/>
        </w:tc>
        <w:tc>
          <w:tcPr>
            <w:tcW w:w="451" w:type="pct"/>
            <w:tcBorders>
              <w:bottom w:val="single" w:sz="8" w:space="0" w:color="auto"/>
              <w:right w:val="single" w:sz="4" w:space="0" w:color="auto"/>
            </w:tcBorders>
            <w:vAlign w:val="bottom"/>
          </w:tcPr>
          <w:p w:rsidR="00C8511D" w:rsidRPr="00CD60D1" w:rsidRDefault="00C8511D" w:rsidP="00754545"/>
        </w:tc>
        <w:tc>
          <w:tcPr>
            <w:tcW w:w="376" w:type="pct"/>
            <w:tcBorders>
              <w:left w:val="single" w:sz="4" w:space="0" w:color="auto"/>
              <w:bottom w:val="single" w:sz="8" w:space="0" w:color="auto"/>
              <w:right w:val="single" w:sz="8" w:space="0" w:color="auto"/>
            </w:tcBorders>
            <w:vAlign w:val="bottom"/>
          </w:tcPr>
          <w:p w:rsidR="00C8511D" w:rsidRPr="00CD60D1" w:rsidRDefault="00C8511D" w:rsidP="00754545"/>
        </w:tc>
        <w:tc>
          <w:tcPr>
            <w:tcW w:w="1040" w:type="pct"/>
            <w:vMerge w:val="restart"/>
            <w:tcBorders>
              <w:right w:val="single" w:sz="8" w:space="0" w:color="auto"/>
            </w:tcBorders>
            <w:vAlign w:val="center"/>
          </w:tcPr>
          <w:p w:rsidR="00C8511D" w:rsidRPr="00CD60D1" w:rsidRDefault="00C8511D" w:rsidP="00C8511D">
            <w:pPr>
              <w:spacing w:line="244" w:lineRule="exact"/>
              <w:jc w:val="center"/>
            </w:pPr>
            <w:r>
              <w:t>д. Ботово</w:t>
            </w:r>
          </w:p>
        </w:tc>
        <w:tc>
          <w:tcPr>
            <w:tcW w:w="16" w:type="pct"/>
            <w:vAlign w:val="bottom"/>
          </w:tcPr>
          <w:p w:rsidR="00C8511D" w:rsidRPr="00CD60D1" w:rsidRDefault="00C8511D" w:rsidP="00754545"/>
        </w:tc>
      </w:tr>
      <w:tr w:rsidR="00C8511D" w:rsidRPr="00CD60D1" w:rsidTr="00754545">
        <w:trPr>
          <w:trHeight w:val="239"/>
        </w:trPr>
        <w:tc>
          <w:tcPr>
            <w:tcW w:w="983" w:type="pct"/>
            <w:tcBorders>
              <w:left w:val="single" w:sz="8" w:space="0" w:color="auto"/>
              <w:bottom w:val="single" w:sz="8" w:space="0" w:color="auto"/>
              <w:right w:val="single" w:sz="8" w:space="0" w:color="auto"/>
            </w:tcBorders>
          </w:tcPr>
          <w:p w:rsidR="00C8511D" w:rsidRPr="00CD60D1" w:rsidRDefault="00C8511D" w:rsidP="00C8511D">
            <w:pPr>
              <w:spacing w:after="20" w:line="239" w:lineRule="exact"/>
              <w:ind w:left="120"/>
            </w:pPr>
            <w:r>
              <w:t xml:space="preserve">д. Авдеевская </w:t>
            </w:r>
          </w:p>
        </w:tc>
        <w:tc>
          <w:tcPr>
            <w:tcW w:w="529" w:type="pct"/>
            <w:tcBorders>
              <w:bottom w:val="single" w:sz="8" w:space="0" w:color="auto"/>
              <w:right w:val="single" w:sz="4" w:space="0" w:color="auto"/>
            </w:tcBorders>
            <w:vAlign w:val="bottom"/>
          </w:tcPr>
          <w:p w:rsidR="00C8511D" w:rsidRPr="00CD60D1" w:rsidRDefault="00C8511D" w:rsidP="00754545"/>
        </w:tc>
        <w:tc>
          <w:tcPr>
            <w:tcW w:w="528" w:type="pct"/>
            <w:tcBorders>
              <w:bottom w:val="single" w:sz="8" w:space="0" w:color="auto"/>
              <w:right w:val="single" w:sz="4" w:space="0" w:color="auto"/>
            </w:tcBorders>
            <w:vAlign w:val="bottom"/>
          </w:tcPr>
          <w:p w:rsidR="00C8511D" w:rsidRPr="00CD60D1" w:rsidRDefault="00C8511D" w:rsidP="00754545"/>
        </w:tc>
        <w:tc>
          <w:tcPr>
            <w:tcW w:w="602" w:type="pct"/>
            <w:tcBorders>
              <w:left w:val="single" w:sz="4" w:space="0" w:color="auto"/>
              <w:bottom w:val="single" w:sz="8" w:space="0" w:color="auto"/>
              <w:right w:val="single" w:sz="8" w:space="0" w:color="auto"/>
            </w:tcBorders>
            <w:vAlign w:val="bottom"/>
          </w:tcPr>
          <w:p w:rsidR="00C8511D" w:rsidRPr="00CD60D1" w:rsidRDefault="00C8511D" w:rsidP="00754545"/>
        </w:tc>
        <w:tc>
          <w:tcPr>
            <w:tcW w:w="475" w:type="pct"/>
            <w:tcBorders>
              <w:bottom w:val="single" w:sz="8" w:space="0" w:color="auto"/>
              <w:right w:val="single" w:sz="8" w:space="0" w:color="auto"/>
            </w:tcBorders>
            <w:vAlign w:val="bottom"/>
          </w:tcPr>
          <w:p w:rsidR="00C8511D" w:rsidRPr="00CD60D1" w:rsidRDefault="00C8511D" w:rsidP="00754545">
            <w:pPr>
              <w:spacing w:line="230" w:lineRule="exact"/>
              <w:jc w:val="center"/>
            </w:pPr>
          </w:p>
        </w:tc>
        <w:tc>
          <w:tcPr>
            <w:tcW w:w="451" w:type="pct"/>
            <w:tcBorders>
              <w:bottom w:val="single" w:sz="8" w:space="0" w:color="auto"/>
              <w:right w:val="single" w:sz="4" w:space="0" w:color="auto"/>
            </w:tcBorders>
            <w:vAlign w:val="bottom"/>
          </w:tcPr>
          <w:p w:rsidR="00C8511D" w:rsidRPr="00CD60D1" w:rsidRDefault="00C8511D" w:rsidP="00754545">
            <w:pPr>
              <w:jc w:val="center"/>
            </w:pPr>
          </w:p>
        </w:tc>
        <w:tc>
          <w:tcPr>
            <w:tcW w:w="376" w:type="pct"/>
            <w:tcBorders>
              <w:left w:val="single" w:sz="4" w:space="0" w:color="auto"/>
              <w:bottom w:val="single" w:sz="8" w:space="0" w:color="auto"/>
              <w:right w:val="single" w:sz="8" w:space="0" w:color="auto"/>
            </w:tcBorders>
            <w:vAlign w:val="bottom"/>
          </w:tcPr>
          <w:p w:rsidR="00C8511D" w:rsidRPr="00CD60D1" w:rsidRDefault="00C8511D" w:rsidP="0075454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8511D" w:rsidRPr="00CD60D1" w:rsidRDefault="00C8511D" w:rsidP="00754545">
            <w:pPr>
              <w:spacing w:line="239" w:lineRule="exact"/>
              <w:jc w:val="center"/>
            </w:pPr>
          </w:p>
        </w:tc>
        <w:tc>
          <w:tcPr>
            <w:tcW w:w="16" w:type="pct"/>
            <w:vAlign w:val="bottom"/>
          </w:tcPr>
          <w:p w:rsidR="00C8511D" w:rsidRPr="00CD60D1" w:rsidRDefault="00C8511D" w:rsidP="00754545"/>
        </w:tc>
      </w:tr>
      <w:tr w:rsidR="00C8511D" w:rsidRPr="00CD60D1" w:rsidTr="00754545">
        <w:trPr>
          <w:trHeight w:val="244"/>
        </w:trPr>
        <w:tc>
          <w:tcPr>
            <w:tcW w:w="983" w:type="pct"/>
            <w:tcBorders>
              <w:left w:val="single" w:sz="8" w:space="0" w:color="auto"/>
              <w:bottom w:val="single" w:sz="8" w:space="0" w:color="auto"/>
              <w:right w:val="single" w:sz="8" w:space="0" w:color="auto"/>
            </w:tcBorders>
          </w:tcPr>
          <w:p w:rsidR="00C8511D" w:rsidRPr="00CD60D1" w:rsidRDefault="00C8511D" w:rsidP="00C8511D">
            <w:pPr>
              <w:spacing w:after="20" w:line="244" w:lineRule="exact"/>
              <w:ind w:left="120"/>
            </w:pPr>
            <w:r>
              <w:t xml:space="preserve">д. Борисово </w:t>
            </w:r>
          </w:p>
        </w:tc>
        <w:tc>
          <w:tcPr>
            <w:tcW w:w="529" w:type="pct"/>
            <w:tcBorders>
              <w:bottom w:val="single" w:sz="8" w:space="0" w:color="auto"/>
              <w:right w:val="single" w:sz="4" w:space="0" w:color="auto"/>
            </w:tcBorders>
            <w:vAlign w:val="bottom"/>
          </w:tcPr>
          <w:p w:rsidR="00C8511D" w:rsidRPr="00CD60D1" w:rsidRDefault="00C8511D" w:rsidP="00754545"/>
        </w:tc>
        <w:tc>
          <w:tcPr>
            <w:tcW w:w="528" w:type="pct"/>
            <w:tcBorders>
              <w:bottom w:val="single" w:sz="8" w:space="0" w:color="auto"/>
              <w:right w:val="single" w:sz="4" w:space="0" w:color="auto"/>
            </w:tcBorders>
            <w:vAlign w:val="bottom"/>
          </w:tcPr>
          <w:p w:rsidR="00C8511D" w:rsidRPr="00CD60D1" w:rsidRDefault="00C8511D" w:rsidP="00754545"/>
        </w:tc>
        <w:tc>
          <w:tcPr>
            <w:tcW w:w="602" w:type="pct"/>
            <w:tcBorders>
              <w:left w:val="single" w:sz="4" w:space="0" w:color="auto"/>
              <w:bottom w:val="single" w:sz="8" w:space="0" w:color="auto"/>
              <w:right w:val="single" w:sz="8" w:space="0" w:color="auto"/>
            </w:tcBorders>
            <w:vAlign w:val="bottom"/>
          </w:tcPr>
          <w:p w:rsidR="00C8511D" w:rsidRPr="00CD60D1" w:rsidRDefault="00C8511D" w:rsidP="00754545"/>
        </w:tc>
        <w:tc>
          <w:tcPr>
            <w:tcW w:w="475" w:type="pct"/>
            <w:tcBorders>
              <w:bottom w:val="single" w:sz="8" w:space="0" w:color="auto"/>
              <w:right w:val="single" w:sz="8" w:space="0" w:color="auto"/>
            </w:tcBorders>
            <w:vAlign w:val="bottom"/>
          </w:tcPr>
          <w:p w:rsidR="00C8511D" w:rsidRPr="00CD60D1" w:rsidRDefault="00C8511D" w:rsidP="00754545">
            <w:pPr>
              <w:spacing w:line="230" w:lineRule="exact"/>
              <w:jc w:val="center"/>
            </w:pPr>
          </w:p>
        </w:tc>
        <w:tc>
          <w:tcPr>
            <w:tcW w:w="451" w:type="pct"/>
            <w:tcBorders>
              <w:bottom w:val="single" w:sz="8" w:space="0" w:color="auto"/>
              <w:right w:val="single" w:sz="4" w:space="0" w:color="auto"/>
            </w:tcBorders>
            <w:vAlign w:val="bottom"/>
          </w:tcPr>
          <w:p w:rsidR="00C8511D" w:rsidRPr="00CD60D1" w:rsidRDefault="00C8511D" w:rsidP="00754545">
            <w:pPr>
              <w:jc w:val="center"/>
            </w:pPr>
          </w:p>
        </w:tc>
        <w:tc>
          <w:tcPr>
            <w:tcW w:w="376" w:type="pct"/>
            <w:tcBorders>
              <w:left w:val="single" w:sz="4" w:space="0" w:color="auto"/>
              <w:bottom w:val="single" w:sz="8" w:space="0" w:color="auto"/>
              <w:right w:val="single" w:sz="8" w:space="0" w:color="auto"/>
            </w:tcBorders>
            <w:vAlign w:val="bottom"/>
          </w:tcPr>
          <w:p w:rsidR="00C8511D" w:rsidRPr="00CD60D1" w:rsidRDefault="00C8511D" w:rsidP="00C8511D">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8511D" w:rsidRPr="00CD60D1" w:rsidRDefault="00C8511D" w:rsidP="00754545">
            <w:pPr>
              <w:spacing w:line="244" w:lineRule="exact"/>
              <w:jc w:val="center"/>
            </w:pPr>
          </w:p>
        </w:tc>
        <w:tc>
          <w:tcPr>
            <w:tcW w:w="16" w:type="pct"/>
            <w:vAlign w:val="bottom"/>
          </w:tcPr>
          <w:p w:rsidR="00C8511D" w:rsidRPr="00CD60D1" w:rsidRDefault="00C8511D" w:rsidP="00754545"/>
        </w:tc>
      </w:tr>
      <w:tr w:rsidR="00C8511D" w:rsidRPr="00CD60D1" w:rsidTr="00754545">
        <w:trPr>
          <w:trHeight w:val="244"/>
        </w:trPr>
        <w:tc>
          <w:tcPr>
            <w:tcW w:w="983" w:type="pct"/>
            <w:tcBorders>
              <w:left w:val="single" w:sz="8" w:space="0" w:color="auto"/>
              <w:bottom w:val="single" w:sz="8" w:space="0" w:color="auto"/>
              <w:right w:val="single" w:sz="8" w:space="0" w:color="auto"/>
            </w:tcBorders>
          </w:tcPr>
          <w:p w:rsidR="00C8511D" w:rsidRPr="00CD60D1" w:rsidRDefault="00C8511D" w:rsidP="00C8511D">
            <w:pPr>
              <w:spacing w:after="20" w:line="244" w:lineRule="exact"/>
              <w:ind w:left="120"/>
            </w:pPr>
            <w:r>
              <w:t xml:space="preserve">д. Енюково </w:t>
            </w:r>
          </w:p>
        </w:tc>
        <w:tc>
          <w:tcPr>
            <w:tcW w:w="529" w:type="pct"/>
            <w:tcBorders>
              <w:bottom w:val="single" w:sz="8" w:space="0" w:color="auto"/>
              <w:right w:val="single" w:sz="4" w:space="0" w:color="auto"/>
            </w:tcBorders>
            <w:vAlign w:val="bottom"/>
          </w:tcPr>
          <w:p w:rsidR="00C8511D" w:rsidRPr="00CD60D1" w:rsidRDefault="00C8511D" w:rsidP="00754545"/>
        </w:tc>
        <w:tc>
          <w:tcPr>
            <w:tcW w:w="528" w:type="pct"/>
            <w:tcBorders>
              <w:bottom w:val="single" w:sz="8" w:space="0" w:color="auto"/>
              <w:right w:val="single" w:sz="4" w:space="0" w:color="auto"/>
            </w:tcBorders>
            <w:vAlign w:val="bottom"/>
          </w:tcPr>
          <w:p w:rsidR="00C8511D" w:rsidRPr="00CD60D1" w:rsidRDefault="00C8511D" w:rsidP="00754545"/>
        </w:tc>
        <w:tc>
          <w:tcPr>
            <w:tcW w:w="602" w:type="pct"/>
            <w:tcBorders>
              <w:left w:val="single" w:sz="4" w:space="0" w:color="auto"/>
              <w:bottom w:val="single" w:sz="8" w:space="0" w:color="auto"/>
              <w:right w:val="single" w:sz="8" w:space="0" w:color="auto"/>
            </w:tcBorders>
            <w:vAlign w:val="bottom"/>
          </w:tcPr>
          <w:p w:rsidR="00C8511D" w:rsidRPr="00CD60D1" w:rsidRDefault="00C8511D" w:rsidP="00754545"/>
        </w:tc>
        <w:tc>
          <w:tcPr>
            <w:tcW w:w="475" w:type="pct"/>
            <w:tcBorders>
              <w:bottom w:val="single" w:sz="8" w:space="0" w:color="auto"/>
              <w:right w:val="single" w:sz="8" w:space="0" w:color="auto"/>
            </w:tcBorders>
            <w:vAlign w:val="bottom"/>
          </w:tcPr>
          <w:p w:rsidR="00C8511D" w:rsidRPr="00CD60D1" w:rsidRDefault="00C8511D" w:rsidP="00754545">
            <w:pPr>
              <w:spacing w:line="230" w:lineRule="exact"/>
              <w:jc w:val="center"/>
            </w:pPr>
            <w:r w:rsidRPr="00CD60D1">
              <w:rPr>
                <w:rFonts w:ascii="Wingdings 2" w:eastAsia="Wingdings 2" w:hAnsi="Wingdings 2" w:cs="Wingdings 2"/>
                <w:w w:val="91"/>
              </w:rPr>
              <w:t></w:t>
            </w:r>
          </w:p>
        </w:tc>
        <w:tc>
          <w:tcPr>
            <w:tcW w:w="451" w:type="pct"/>
            <w:tcBorders>
              <w:bottom w:val="single" w:sz="8" w:space="0" w:color="auto"/>
              <w:right w:val="single" w:sz="4" w:space="0" w:color="auto"/>
            </w:tcBorders>
            <w:vAlign w:val="bottom"/>
          </w:tcPr>
          <w:p w:rsidR="00C8511D" w:rsidRPr="00CD60D1" w:rsidRDefault="00C8511D" w:rsidP="00754545">
            <w:pPr>
              <w:jc w:val="center"/>
              <w:rPr>
                <w:b/>
              </w:rPr>
            </w:pPr>
          </w:p>
        </w:tc>
        <w:tc>
          <w:tcPr>
            <w:tcW w:w="376" w:type="pct"/>
            <w:tcBorders>
              <w:left w:val="single" w:sz="4" w:space="0" w:color="auto"/>
              <w:bottom w:val="single" w:sz="8" w:space="0" w:color="auto"/>
              <w:right w:val="single" w:sz="8" w:space="0" w:color="auto"/>
            </w:tcBorders>
            <w:vAlign w:val="bottom"/>
          </w:tcPr>
          <w:p w:rsidR="00C8511D" w:rsidRPr="00CD60D1" w:rsidRDefault="00C8511D" w:rsidP="00754545"/>
        </w:tc>
        <w:tc>
          <w:tcPr>
            <w:tcW w:w="1040" w:type="pct"/>
            <w:vMerge/>
            <w:tcBorders>
              <w:right w:val="single" w:sz="8" w:space="0" w:color="auto"/>
            </w:tcBorders>
            <w:vAlign w:val="bottom"/>
          </w:tcPr>
          <w:p w:rsidR="00C8511D" w:rsidRPr="00CD60D1" w:rsidRDefault="00C8511D" w:rsidP="00754545">
            <w:pPr>
              <w:spacing w:line="244" w:lineRule="exact"/>
              <w:jc w:val="center"/>
            </w:pPr>
          </w:p>
        </w:tc>
        <w:tc>
          <w:tcPr>
            <w:tcW w:w="16" w:type="pct"/>
            <w:vAlign w:val="bottom"/>
          </w:tcPr>
          <w:p w:rsidR="00C8511D" w:rsidRPr="00CD60D1" w:rsidRDefault="00C8511D" w:rsidP="00754545"/>
        </w:tc>
      </w:tr>
      <w:tr w:rsidR="00C8511D" w:rsidRPr="00CD60D1" w:rsidTr="00754545">
        <w:trPr>
          <w:trHeight w:val="244"/>
        </w:trPr>
        <w:tc>
          <w:tcPr>
            <w:tcW w:w="983" w:type="pct"/>
            <w:tcBorders>
              <w:left w:val="single" w:sz="8" w:space="0" w:color="auto"/>
              <w:bottom w:val="single" w:sz="8" w:space="0" w:color="auto"/>
              <w:right w:val="single" w:sz="8" w:space="0" w:color="auto"/>
            </w:tcBorders>
          </w:tcPr>
          <w:p w:rsidR="00C8511D" w:rsidRPr="00CD60D1" w:rsidRDefault="00C8511D" w:rsidP="00C8511D">
            <w:pPr>
              <w:spacing w:after="20" w:line="244" w:lineRule="exact"/>
              <w:ind w:left="120"/>
            </w:pPr>
            <w:r>
              <w:t>д. Марьинская</w:t>
            </w:r>
          </w:p>
        </w:tc>
        <w:tc>
          <w:tcPr>
            <w:tcW w:w="529" w:type="pct"/>
            <w:tcBorders>
              <w:bottom w:val="single" w:sz="8" w:space="0" w:color="auto"/>
              <w:right w:val="single" w:sz="4" w:space="0" w:color="auto"/>
            </w:tcBorders>
            <w:vAlign w:val="bottom"/>
          </w:tcPr>
          <w:p w:rsidR="00C8511D" w:rsidRPr="00CD60D1" w:rsidRDefault="00C8511D" w:rsidP="00754545"/>
        </w:tc>
        <w:tc>
          <w:tcPr>
            <w:tcW w:w="528" w:type="pct"/>
            <w:tcBorders>
              <w:bottom w:val="single" w:sz="8" w:space="0" w:color="auto"/>
              <w:right w:val="single" w:sz="4" w:space="0" w:color="auto"/>
            </w:tcBorders>
            <w:vAlign w:val="bottom"/>
          </w:tcPr>
          <w:p w:rsidR="00C8511D" w:rsidRPr="00CD60D1" w:rsidRDefault="00C8511D" w:rsidP="00754545"/>
        </w:tc>
        <w:tc>
          <w:tcPr>
            <w:tcW w:w="602" w:type="pct"/>
            <w:tcBorders>
              <w:left w:val="single" w:sz="4" w:space="0" w:color="auto"/>
              <w:bottom w:val="single" w:sz="8" w:space="0" w:color="auto"/>
              <w:right w:val="single" w:sz="8" w:space="0" w:color="auto"/>
            </w:tcBorders>
            <w:vAlign w:val="bottom"/>
          </w:tcPr>
          <w:p w:rsidR="00C8511D" w:rsidRPr="00CD60D1" w:rsidRDefault="00C8511D" w:rsidP="00754545"/>
        </w:tc>
        <w:tc>
          <w:tcPr>
            <w:tcW w:w="475" w:type="pct"/>
            <w:tcBorders>
              <w:bottom w:val="single" w:sz="8" w:space="0" w:color="auto"/>
              <w:right w:val="single" w:sz="8" w:space="0" w:color="auto"/>
            </w:tcBorders>
            <w:vAlign w:val="bottom"/>
          </w:tcPr>
          <w:p w:rsidR="00C8511D" w:rsidRPr="00CD60D1" w:rsidRDefault="00C8511D"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8511D" w:rsidRPr="00CD60D1" w:rsidRDefault="00C8511D" w:rsidP="00754545"/>
        </w:tc>
        <w:tc>
          <w:tcPr>
            <w:tcW w:w="376" w:type="pct"/>
            <w:tcBorders>
              <w:left w:val="single" w:sz="4" w:space="0" w:color="auto"/>
              <w:bottom w:val="single" w:sz="8" w:space="0" w:color="auto"/>
              <w:right w:val="single" w:sz="8" w:space="0" w:color="auto"/>
            </w:tcBorders>
            <w:vAlign w:val="bottom"/>
          </w:tcPr>
          <w:p w:rsidR="00C8511D" w:rsidRPr="00CD60D1" w:rsidRDefault="00C8511D" w:rsidP="0075454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8511D" w:rsidRPr="00CD60D1" w:rsidRDefault="00C8511D" w:rsidP="00754545">
            <w:pPr>
              <w:spacing w:line="244" w:lineRule="exact"/>
              <w:jc w:val="center"/>
            </w:pPr>
          </w:p>
        </w:tc>
        <w:tc>
          <w:tcPr>
            <w:tcW w:w="16" w:type="pct"/>
            <w:vAlign w:val="bottom"/>
          </w:tcPr>
          <w:p w:rsidR="00C8511D" w:rsidRPr="00CD60D1" w:rsidRDefault="00C8511D" w:rsidP="00754545"/>
        </w:tc>
      </w:tr>
      <w:tr w:rsidR="00C8511D" w:rsidRPr="00CD60D1" w:rsidTr="00754545">
        <w:trPr>
          <w:trHeight w:val="244"/>
        </w:trPr>
        <w:tc>
          <w:tcPr>
            <w:tcW w:w="983" w:type="pct"/>
            <w:tcBorders>
              <w:left w:val="single" w:sz="8" w:space="0" w:color="auto"/>
              <w:bottom w:val="single" w:sz="8" w:space="0" w:color="auto"/>
              <w:right w:val="single" w:sz="8" w:space="0" w:color="auto"/>
            </w:tcBorders>
          </w:tcPr>
          <w:p w:rsidR="00C8511D" w:rsidRPr="00CD60D1" w:rsidRDefault="00C8511D" w:rsidP="00C8511D">
            <w:pPr>
              <w:spacing w:after="20" w:line="244" w:lineRule="exact"/>
              <w:ind w:left="120"/>
            </w:pPr>
            <w:r>
              <w:t xml:space="preserve">д. Мостовая </w:t>
            </w:r>
          </w:p>
        </w:tc>
        <w:tc>
          <w:tcPr>
            <w:tcW w:w="529" w:type="pct"/>
            <w:tcBorders>
              <w:bottom w:val="single" w:sz="8" w:space="0" w:color="auto"/>
              <w:right w:val="single" w:sz="4" w:space="0" w:color="auto"/>
            </w:tcBorders>
            <w:vAlign w:val="bottom"/>
          </w:tcPr>
          <w:p w:rsidR="00C8511D" w:rsidRPr="00CD60D1" w:rsidRDefault="00C8511D" w:rsidP="00754545"/>
        </w:tc>
        <w:tc>
          <w:tcPr>
            <w:tcW w:w="528" w:type="pct"/>
            <w:tcBorders>
              <w:bottom w:val="single" w:sz="8" w:space="0" w:color="auto"/>
              <w:right w:val="single" w:sz="4" w:space="0" w:color="auto"/>
            </w:tcBorders>
            <w:vAlign w:val="bottom"/>
          </w:tcPr>
          <w:p w:rsidR="00C8511D" w:rsidRPr="00CD60D1" w:rsidRDefault="00C8511D" w:rsidP="00754545"/>
        </w:tc>
        <w:tc>
          <w:tcPr>
            <w:tcW w:w="602" w:type="pct"/>
            <w:tcBorders>
              <w:left w:val="single" w:sz="4" w:space="0" w:color="auto"/>
              <w:bottom w:val="single" w:sz="8" w:space="0" w:color="auto"/>
              <w:right w:val="single" w:sz="8" w:space="0" w:color="auto"/>
            </w:tcBorders>
            <w:vAlign w:val="bottom"/>
          </w:tcPr>
          <w:p w:rsidR="00C8511D" w:rsidRPr="00CD60D1" w:rsidRDefault="00C8511D" w:rsidP="00754545"/>
        </w:tc>
        <w:tc>
          <w:tcPr>
            <w:tcW w:w="475" w:type="pct"/>
            <w:tcBorders>
              <w:bottom w:val="single" w:sz="8" w:space="0" w:color="auto"/>
              <w:right w:val="single" w:sz="8" w:space="0" w:color="auto"/>
            </w:tcBorders>
            <w:vAlign w:val="bottom"/>
          </w:tcPr>
          <w:p w:rsidR="00C8511D" w:rsidRPr="00CD60D1" w:rsidRDefault="00C8511D"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8511D" w:rsidRPr="00CD60D1" w:rsidRDefault="00C8511D" w:rsidP="00754545"/>
        </w:tc>
        <w:tc>
          <w:tcPr>
            <w:tcW w:w="376" w:type="pct"/>
            <w:tcBorders>
              <w:left w:val="single" w:sz="4" w:space="0" w:color="auto"/>
              <w:bottom w:val="single" w:sz="8" w:space="0" w:color="auto"/>
              <w:right w:val="single" w:sz="8" w:space="0" w:color="auto"/>
            </w:tcBorders>
            <w:vAlign w:val="bottom"/>
          </w:tcPr>
          <w:p w:rsidR="00C8511D" w:rsidRPr="00CD60D1" w:rsidRDefault="00C8511D"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8511D" w:rsidRPr="00CD60D1" w:rsidRDefault="00C8511D" w:rsidP="00754545">
            <w:pPr>
              <w:spacing w:line="244" w:lineRule="exact"/>
              <w:jc w:val="center"/>
            </w:pPr>
          </w:p>
        </w:tc>
        <w:tc>
          <w:tcPr>
            <w:tcW w:w="16" w:type="pct"/>
            <w:vAlign w:val="bottom"/>
          </w:tcPr>
          <w:p w:rsidR="00C8511D" w:rsidRPr="00CD60D1" w:rsidRDefault="00C8511D" w:rsidP="00754545"/>
        </w:tc>
      </w:tr>
      <w:tr w:rsidR="00C8511D" w:rsidRPr="00CD60D1" w:rsidTr="00754545">
        <w:trPr>
          <w:trHeight w:val="244"/>
        </w:trPr>
        <w:tc>
          <w:tcPr>
            <w:tcW w:w="983" w:type="pct"/>
            <w:tcBorders>
              <w:left w:val="single" w:sz="8" w:space="0" w:color="auto"/>
              <w:bottom w:val="single" w:sz="8" w:space="0" w:color="auto"/>
              <w:right w:val="single" w:sz="8" w:space="0" w:color="auto"/>
            </w:tcBorders>
          </w:tcPr>
          <w:p w:rsidR="00C8511D" w:rsidRPr="00CD60D1" w:rsidRDefault="00C8511D" w:rsidP="00C8511D">
            <w:pPr>
              <w:spacing w:after="20" w:line="244" w:lineRule="exact"/>
              <w:ind w:left="120"/>
            </w:pPr>
            <w:r>
              <w:t>д. Раменье</w:t>
            </w:r>
          </w:p>
        </w:tc>
        <w:tc>
          <w:tcPr>
            <w:tcW w:w="529" w:type="pct"/>
            <w:tcBorders>
              <w:bottom w:val="single" w:sz="8" w:space="0" w:color="auto"/>
              <w:right w:val="single" w:sz="4" w:space="0" w:color="auto"/>
            </w:tcBorders>
            <w:vAlign w:val="bottom"/>
          </w:tcPr>
          <w:p w:rsidR="00C8511D" w:rsidRPr="00CD60D1" w:rsidRDefault="00C8511D" w:rsidP="00754545"/>
        </w:tc>
        <w:tc>
          <w:tcPr>
            <w:tcW w:w="528" w:type="pct"/>
            <w:tcBorders>
              <w:bottom w:val="single" w:sz="8" w:space="0" w:color="auto"/>
              <w:right w:val="single" w:sz="4" w:space="0" w:color="auto"/>
            </w:tcBorders>
            <w:vAlign w:val="bottom"/>
          </w:tcPr>
          <w:p w:rsidR="00C8511D" w:rsidRPr="00CD60D1" w:rsidRDefault="00C8511D" w:rsidP="00754545"/>
        </w:tc>
        <w:tc>
          <w:tcPr>
            <w:tcW w:w="602" w:type="pct"/>
            <w:tcBorders>
              <w:left w:val="single" w:sz="4" w:space="0" w:color="auto"/>
              <w:bottom w:val="single" w:sz="8" w:space="0" w:color="auto"/>
              <w:right w:val="single" w:sz="8" w:space="0" w:color="auto"/>
            </w:tcBorders>
            <w:vAlign w:val="bottom"/>
          </w:tcPr>
          <w:p w:rsidR="00C8511D" w:rsidRPr="00CD60D1" w:rsidRDefault="00C8511D" w:rsidP="00754545"/>
        </w:tc>
        <w:tc>
          <w:tcPr>
            <w:tcW w:w="475" w:type="pct"/>
            <w:tcBorders>
              <w:bottom w:val="single" w:sz="8" w:space="0" w:color="auto"/>
              <w:right w:val="single" w:sz="8" w:space="0" w:color="auto"/>
            </w:tcBorders>
            <w:vAlign w:val="bottom"/>
          </w:tcPr>
          <w:p w:rsidR="00C8511D" w:rsidRPr="00CD60D1" w:rsidRDefault="00C8511D"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8511D" w:rsidRPr="00CD60D1" w:rsidRDefault="00C8511D" w:rsidP="00754545"/>
        </w:tc>
        <w:tc>
          <w:tcPr>
            <w:tcW w:w="376" w:type="pct"/>
            <w:tcBorders>
              <w:left w:val="single" w:sz="4" w:space="0" w:color="auto"/>
              <w:bottom w:val="single" w:sz="8" w:space="0" w:color="auto"/>
              <w:right w:val="single" w:sz="8" w:space="0" w:color="auto"/>
            </w:tcBorders>
            <w:vAlign w:val="bottom"/>
          </w:tcPr>
          <w:p w:rsidR="00C8511D" w:rsidRPr="00CD60D1" w:rsidRDefault="00C8511D"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8511D" w:rsidRPr="00CD60D1" w:rsidRDefault="00C8511D" w:rsidP="00754545">
            <w:pPr>
              <w:spacing w:line="244" w:lineRule="exact"/>
              <w:jc w:val="center"/>
            </w:pPr>
          </w:p>
        </w:tc>
        <w:tc>
          <w:tcPr>
            <w:tcW w:w="16" w:type="pct"/>
            <w:vAlign w:val="bottom"/>
          </w:tcPr>
          <w:p w:rsidR="00C8511D" w:rsidRPr="00CD60D1" w:rsidRDefault="00C8511D" w:rsidP="00754545"/>
        </w:tc>
      </w:tr>
      <w:tr w:rsidR="00C8511D" w:rsidRPr="00CD60D1" w:rsidTr="00C8511D">
        <w:trPr>
          <w:trHeight w:val="50"/>
        </w:trPr>
        <w:tc>
          <w:tcPr>
            <w:tcW w:w="983" w:type="pct"/>
            <w:tcBorders>
              <w:left w:val="single" w:sz="8" w:space="0" w:color="auto"/>
              <w:bottom w:val="single" w:sz="4" w:space="0" w:color="auto"/>
              <w:right w:val="single" w:sz="8" w:space="0" w:color="auto"/>
            </w:tcBorders>
          </w:tcPr>
          <w:p w:rsidR="00C8511D" w:rsidRPr="00CD60D1" w:rsidRDefault="00C8511D" w:rsidP="00C8511D">
            <w:pPr>
              <w:spacing w:after="20" w:line="244" w:lineRule="exact"/>
              <w:ind w:left="120"/>
            </w:pPr>
            <w:r>
              <w:t>д. Селиваново</w:t>
            </w:r>
          </w:p>
        </w:tc>
        <w:tc>
          <w:tcPr>
            <w:tcW w:w="529" w:type="pct"/>
            <w:tcBorders>
              <w:bottom w:val="single" w:sz="4" w:space="0" w:color="auto"/>
              <w:right w:val="single" w:sz="4" w:space="0" w:color="auto"/>
            </w:tcBorders>
            <w:vAlign w:val="bottom"/>
          </w:tcPr>
          <w:p w:rsidR="00C8511D" w:rsidRPr="00CD60D1" w:rsidRDefault="00C8511D" w:rsidP="00754545"/>
        </w:tc>
        <w:tc>
          <w:tcPr>
            <w:tcW w:w="528" w:type="pct"/>
            <w:tcBorders>
              <w:bottom w:val="single" w:sz="4" w:space="0" w:color="auto"/>
              <w:right w:val="single" w:sz="4" w:space="0" w:color="auto"/>
            </w:tcBorders>
            <w:vAlign w:val="bottom"/>
          </w:tcPr>
          <w:p w:rsidR="00C8511D" w:rsidRPr="00CD60D1" w:rsidRDefault="00C8511D" w:rsidP="00754545"/>
        </w:tc>
        <w:tc>
          <w:tcPr>
            <w:tcW w:w="602" w:type="pct"/>
            <w:tcBorders>
              <w:left w:val="single" w:sz="4" w:space="0" w:color="auto"/>
              <w:bottom w:val="single" w:sz="4" w:space="0" w:color="auto"/>
              <w:right w:val="single" w:sz="8" w:space="0" w:color="auto"/>
            </w:tcBorders>
            <w:vAlign w:val="bottom"/>
          </w:tcPr>
          <w:p w:rsidR="00C8511D" w:rsidRPr="00CD60D1" w:rsidRDefault="00C8511D" w:rsidP="00754545"/>
        </w:tc>
        <w:tc>
          <w:tcPr>
            <w:tcW w:w="475" w:type="pct"/>
            <w:tcBorders>
              <w:bottom w:val="single" w:sz="4" w:space="0" w:color="auto"/>
              <w:right w:val="single" w:sz="8" w:space="0" w:color="auto"/>
            </w:tcBorders>
            <w:vAlign w:val="bottom"/>
          </w:tcPr>
          <w:p w:rsidR="00C8511D" w:rsidRPr="00CD60D1" w:rsidRDefault="00C8511D" w:rsidP="00754545">
            <w:pPr>
              <w:spacing w:line="230" w:lineRule="exact"/>
              <w:jc w:val="center"/>
              <w:rPr>
                <w:rFonts w:ascii="Wingdings 2" w:eastAsia="Wingdings 2" w:hAnsi="Wingdings 2" w:cs="Wingdings 2"/>
                <w:w w:val="91"/>
              </w:rPr>
            </w:pPr>
          </w:p>
        </w:tc>
        <w:tc>
          <w:tcPr>
            <w:tcW w:w="451" w:type="pct"/>
            <w:tcBorders>
              <w:bottom w:val="single" w:sz="4" w:space="0" w:color="auto"/>
              <w:right w:val="single" w:sz="4" w:space="0" w:color="auto"/>
            </w:tcBorders>
            <w:vAlign w:val="bottom"/>
          </w:tcPr>
          <w:p w:rsidR="00C8511D" w:rsidRPr="00CD60D1" w:rsidRDefault="00C8511D" w:rsidP="00754545">
            <w:pPr>
              <w:jc w:val="center"/>
            </w:pPr>
          </w:p>
        </w:tc>
        <w:tc>
          <w:tcPr>
            <w:tcW w:w="376" w:type="pct"/>
            <w:tcBorders>
              <w:left w:val="single" w:sz="4" w:space="0" w:color="auto"/>
              <w:bottom w:val="single" w:sz="4" w:space="0" w:color="auto"/>
              <w:right w:val="single" w:sz="8" w:space="0" w:color="auto"/>
            </w:tcBorders>
            <w:vAlign w:val="bottom"/>
          </w:tcPr>
          <w:p w:rsidR="00C8511D" w:rsidRPr="00CD60D1" w:rsidRDefault="00C8511D" w:rsidP="0075454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8511D" w:rsidRPr="00CD60D1" w:rsidRDefault="00C8511D" w:rsidP="00754545">
            <w:pPr>
              <w:spacing w:line="244" w:lineRule="exact"/>
              <w:jc w:val="center"/>
            </w:pPr>
          </w:p>
        </w:tc>
        <w:tc>
          <w:tcPr>
            <w:tcW w:w="16" w:type="pct"/>
            <w:vAlign w:val="bottom"/>
          </w:tcPr>
          <w:p w:rsidR="00C8511D" w:rsidRPr="00CD60D1" w:rsidRDefault="00C8511D" w:rsidP="00754545"/>
        </w:tc>
      </w:tr>
      <w:tr w:rsidR="00C8511D" w:rsidRPr="00CD60D1" w:rsidTr="00C8511D">
        <w:trPr>
          <w:trHeight w:val="50"/>
        </w:trPr>
        <w:tc>
          <w:tcPr>
            <w:tcW w:w="983" w:type="pct"/>
            <w:tcBorders>
              <w:top w:val="single" w:sz="4" w:space="0" w:color="auto"/>
              <w:left w:val="single" w:sz="8" w:space="0" w:color="auto"/>
              <w:bottom w:val="single" w:sz="4" w:space="0" w:color="auto"/>
              <w:right w:val="single" w:sz="8" w:space="0" w:color="auto"/>
            </w:tcBorders>
          </w:tcPr>
          <w:p w:rsidR="00C8511D" w:rsidRDefault="00C8511D" w:rsidP="00C8511D">
            <w:pPr>
              <w:spacing w:after="20" w:line="244" w:lineRule="exact"/>
              <w:ind w:left="120"/>
            </w:pPr>
            <w:r>
              <w:t xml:space="preserve">д. Фенево </w:t>
            </w:r>
          </w:p>
        </w:tc>
        <w:tc>
          <w:tcPr>
            <w:tcW w:w="529" w:type="pct"/>
            <w:tcBorders>
              <w:top w:val="single" w:sz="4" w:space="0" w:color="auto"/>
              <w:bottom w:val="single" w:sz="4" w:space="0" w:color="auto"/>
              <w:right w:val="single" w:sz="4" w:space="0" w:color="auto"/>
            </w:tcBorders>
            <w:vAlign w:val="bottom"/>
          </w:tcPr>
          <w:p w:rsidR="00C8511D" w:rsidRPr="00CD60D1" w:rsidRDefault="00C8511D" w:rsidP="00754545"/>
        </w:tc>
        <w:tc>
          <w:tcPr>
            <w:tcW w:w="528" w:type="pct"/>
            <w:tcBorders>
              <w:top w:val="single" w:sz="4" w:space="0" w:color="auto"/>
              <w:bottom w:val="single" w:sz="4" w:space="0" w:color="auto"/>
              <w:right w:val="single" w:sz="4" w:space="0" w:color="auto"/>
            </w:tcBorders>
            <w:vAlign w:val="bottom"/>
          </w:tcPr>
          <w:p w:rsidR="00C8511D" w:rsidRPr="00CD60D1" w:rsidRDefault="00C8511D" w:rsidP="00754545"/>
        </w:tc>
        <w:tc>
          <w:tcPr>
            <w:tcW w:w="602" w:type="pct"/>
            <w:tcBorders>
              <w:top w:val="single" w:sz="4" w:space="0" w:color="auto"/>
              <w:left w:val="single" w:sz="4" w:space="0" w:color="auto"/>
              <w:bottom w:val="single" w:sz="4" w:space="0" w:color="auto"/>
              <w:right w:val="single" w:sz="8" w:space="0" w:color="auto"/>
            </w:tcBorders>
            <w:vAlign w:val="bottom"/>
          </w:tcPr>
          <w:p w:rsidR="00C8511D" w:rsidRPr="00CD60D1" w:rsidRDefault="00C8511D" w:rsidP="00754545"/>
        </w:tc>
        <w:tc>
          <w:tcPr>
            <w:tcW w:w="475" w:type="pct"/>
            <w:tcBorders>
              <w:top w:val="single" w:sz="4" w:space="0" w:color="auto"/>
              <w:bottom w:val="single" w:sz="4" w:space="0" w:color="auto"/>
              <w:right w:val="single" w:sz="8" w:space="0" w:color="auto"/>
            </w:tcBorders>
            <w:vAlign w:val="bottom"/>
          </w:tcPr>
          <w:p w:rsidR="00C8511D" w:rsidRPr="00CD60D1" w:rsidRDefault="00C8511D"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C8511D" w:rsidRPr="00CD60D1" w:rsidRDefault="00C8511D" w:rsidP="00754545">
            <w:pPr>
              <w:jc w:val="center"/>
            </w:pPr>
            <w:r w:rsidRPr="00CD60D1">
              <w:rPr>
                <w:rFonts w:ascii="Wingdings 2" w:eastAsia="Wingdings 2" w:hAnsi="Wingdings 2" w:cs="Wingdings 2"/>
                <w:w w:val="91"/>
              </w:rPr>
              <w:t></w:t>
            </w:r>
          </w:p>
        </w:tc>
        <w:tc>
          <w:tcPr>
            <w:tcW w:w="376" w:type="pct"/>
            <w:tcBorders>
              <w:top w:val="single" w:sz="4" w:space="0" w:color="auto"/>
              <w:left w:val="single" w:sz="4" w:space="0" w:color="auto"/>
              <w:bottom w:val="single" w:sz="4" w:space="0" w:color="auto"/>
              <w:right w:val="single" w:sz="8" w:space="0" w:color="auto"/>
            </w:tcBorders>
            <w:vAlign w:val="bottom"/>
          </w:tcPr>
          <w:p w:rsidR="00C8511D" w:rsidRPr="00CD60D1" w:rsidRDefault="00C8511D" w:rsidP="00754545">
            <w:pPr>
              <w:jc w:val="center"/>
              <w:rPr>
                <w:rFonts w:ascii="Wingdings 2" w:eastAsia="Wingdings 2" w:hAnsi="Wingdings 2" w:cs="Wingdings 2"/>
                <w:w w:val="91"/>
              </w:rPr>
            </w:pPr>
          </w:p>
        </w:tc>
        <w:tc>
          <w:tcPr>
            <w:tcW w:w="1040" w:type="pct"/>
            <w:vMerge/>
            <w:tcBorders>
              <w:right w:val="single" w:sz="8" w:space="0" w:color="auto"/>
            </w:tcBorders>
            <w:vAlign w:val="bottom"/>
          </w:tcPr>
          <w:p w:rsidR="00C8511D" w:rsidRPr="00CD60D1" w:rsidRDefault="00C8511D" w:rsidP="00754545">
            <w:pPr>
              <w:spacing w:line="244" w:lineRule="exact"/>
              <w:jc w:val="center"/>
            </w:pPr>
          </w:p>
        </w:tc>
        <w:tc>
          <w:tcPr>
            <w:tcW w:w="16" w:type="pct"/>
            <w:vAlign w:val="bottom"/>
          </w:tcPr>
          <w:p w:rsidR="00C8511D" w:rsidRPr="00CD60D1" w:rsidRDefault="00C8511D" w:rsidP="00754545"/>
        </w:tc>
      </w:tr>
      <w:tr w:rsidR="00C8511D" w:rsidRPr="00CD60D1" w:rsidTr="00C8511D">
        <w:trPr>
          <w:trHeight w:val="50"/>
        </w:trPr>
        <w:tc>
          <w:tcPr>
            <w:tcW w:w="983" w:type="pct"/>
            <w:tcBorders>
              <w:top w:val="single" w:sz="4" w:space="0" w:color="auto"/>
              <w:left w:val="single" w:sz="8" w:space="0" w:color="auto"/>
              <w:bottom w:val="single" w:sz="4" w:space="0" w:color="auto"/>
              <w:right w:val="single" w:sz="8" w:space="0" w:color="auto"/>
            </w:tcBorders>
          </w:tcPr>
          <w:p w:rsidR="00C8511D" w:rsidRDefault="00C8511D" w:rsidP="00C8511D">
            <w:pPr>
              <w:spacing w:after="20" w:line="244" w:lineRule="exact"/>
              <w:ind w:left="120"/>
            </w:pPr>
            <w:r>
              <w:t xml:space="preserve">д. Колкач </w:t>
            </w:r>
          </w:p>
        </w:tc>
        <w:tc>
          <w:tcPr>
            <w:tcW w:w="529" w:type="pct"/>
            <w:tcBorders>
              <w:top w:val="single" w:sz="4" w:space="0" w:color="auto"/>
              <w:bottom w:val="single" w:sz="4" w:space="0" w:color="auto"/>
              <w:right w:val="single" w:sz="4" w:space="0" w:color="auto"/>
            </w:tcBorders>
            <w:vAlign w:val="bottom"/>
          </w:tcPr>
          <w:p w:rsidR="00C8511D" w:rsidRPr="00CD60D1" w:rsidRDefault="00C8511D" w:rsidP="00C8511D"/>
        </w:tc>
        <w:tc>
          <w:tcPr>
            <w:tcW w:w="528" w:type="pct"/>
            <w:tcBorders>
              <w:top w:val="single" w:sz="4" w:space="0" w:color="auto"/>
              <w:bottom w:val="single" w:sz="4" w:space="0" w:color="auto"/>
              <w:right w:val="single" w:sz="4" w:space="0" w:color="auto"/>
            </w:tcBorders>
            <w:vAlign w:val="bottom"/>
          </w:tcPr>
          <w:p w:rsidR="00C8511D" w:rsidRPr="00CD60D1" w:rsidRDefault="00C8511D" w:rsidP="00C8511D"/>
        </w:tc>
        <w:tc>
          <w:tcPr>
            <w:tcW w:w="602" w:type="pct"/>
            <w:tcBorders>
              <w:top w:val="single" w:sz="4" w:space="0" w:color="auto"/>
              <w:left w:val="single" w:sz="4" w:space="0" w:color="auto"/>
              <w:bottom w:val="single" w:sz="4" w:space="0" w:color="auto"/>
              <w:right w:val="single" w:sz="8" w:space="0" w:color="auto"/>
            </w:tcBorders>
            <w:vAlign w:val="bottom"/>
          </w:tcPr>
          <w:p w:rsidR="00C8511D" w:rsidRPr="00CD60D1" w:rsidRDefault="00C8511D" w:rsidP="00C8511D"/>
        </w:tc>
        <w:tc>
          <w:tcPr>
            <w:tcW w:w="475" w:type="pct"/>
            <w:tcBorders>
              <w:top w:val="single" w:sz="4" w:space="0" w:color="auto"/>
              <w:bottom w:val="single" w:sz="4" w:space="0" w:color="auto"/>
              <w:right w:val="single" w:sz="8" w:space="0" w:color="auto"/>
            </w:tcBorders>
            <w:vAlign w:val="bottom"/>
          </w:tcPr>
          <w:p w:rsidR="00C8511D" w:rsidRPr="00CD60D1" w:rsidRDefault="00C8511D" w:rsidP="00C8511D">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C8511D" w:rsidRPr="00CD60D1" w:rsidRDefault="00C8511D" w:rsidP="00C8511D">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C8511D" w:rsidRPr="00CD60D1" w:rsidRDefault="00C8511D" w:rsidP="00C8511D">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8511D" w:rsidRPr="00CD60D1" w:rsidRDefault="00C8511D" w:rsidP="00C8511D">
            <w:pPr>
              <w:spacing w:line="244" w:lineRule="exact"/>
              <w:jc w:val="center"/>
            </w:pPr>
          </w:p>
        </w:tc>
        <w:tc>
          <w:tcPr>
            <w:tcW w:w="16" w:type="pct"/>
            <w:vAlign w:val="bottom"/>
          </w:tcPr>
          <w:p w:rsidR="00C8511D" w:rsidRPr="00CD60D1" w:rsidRDefault="00C8511D" w:rsidP="00C8511D"/>
        </w:tc>
      </w:tr>
      <w:tr w:rsidR="00C8511D" w:rsidRPr="00CD60D1" w:rsidTr="00C8511D">
        <w:trPr>
          <w:trHeight w:val="50"/>
        </w:trPr>
        <w:tc>
          <w:tcPr>
            <w:tcW w:w="983" w:type="pct"/>
            <w:tcBorders>
              <w:top w:val="single" w:sz="4" w:space="0" w:color="auto"/>
              <w:left w:val="single" w:sz="8" w:space="0" w:color="auto"/>
              <w:bottom w:val="single" w:sz="4" w:space="0" w:color="auto"/>
              <w:right w:val="single" w:sz="8" w:space="0" w:color="auto"/>
            </w:tcBorders>
          </w:tcPr>
          <w:p w:rsidR="00C8511D" w:rsidRDefault="00C8511D" w:rsidP="00C8511D">
            <w:pPr>
              <w:spacing w:after="20" w:line="244" w:lineRule="exact"/>
              <w:ind w:left="120"/>
            </w:pPr>
            <w:r>
              <w:t>д. Мархинино</w:t>
            </w:r>
          </w:p>
        </w:tc>
        <w:tc>
          <w:tcPr>
            <w:tcW w:w="529" w:type="pct"/>
            <w:tcBorders>
              <w:top w:val="single" w:sz="4" w:space="0" w:color="auto"/>
              <w:bottom w:val="single" w:sz="4" w:space="0" w:color="auto"/>
              <w:right w:val="single" w:sz="4" w:space="0" w:color="auto"/>
            </w:tcBorders>
            <w:vAlign w:val="bottom"/>
          </w:tcPr>
          <w:p w:rsidR="00C8511D" w:rsidRPr="00CD60D1" w:rsidRDefault="00C8511D" w:rsidP="00754545"/>
        </w:tc>
        <w:tc>
          <w:tcPr>
            <w:tcW w:w="528" w:type="pct"/>
            <w:tcBorders>
              <w:top w:val="single" w:sz="4" w:space="0" w:color="auto"/>
              <w:bottom w:val="single" w:sz="4" w:space="0" w:color="auto"/>
              <w:right w:val="single" w:sz="4" w:space="0" w:color="auto"/>
            </w:tcBorders>
            <w:vAlign w:val="bottom"/>
          </w:tcPr>
          <w:p w:rsidR="00C8511D" w:rsidRPr="00CD60D1" w:rsidRDefault="00C8511D" w:rsidP="00754545"/>
        </w:tc>
        <w:tc>
          <w:tcPr>
            <w:tcW w:w="602" w:type="pct"/>
            <w:tcBorders>
              <w:top w:val="single" w:sz="4" w:space="0" w:color="auto"/>
              <w:left w:val="single" w:sz="4" w:space="0" w:color="auto"/>
              <w:bottom w:val="single" w:sz="4" w:space="0" w:color="auto"/>
              <w:right w:val="single" w:sz="8" w:space="0" w:color="auto"/>
            </w:tcBorders>
            <w:vAlign w:val="bottom"/>
          </w:tcPr>
          <w:p w:rsidR="00C8511D" w:rsidRPr="00CD60D1" w:rsidRDefault="00C8511D" w:rsidP="00754545"/>
        </w:tc>
        <w:tc>
          <w:tcPr>
            <w:tcW w:w="475" w:type="pct"/>
            <w:tcBorders>
              <w:top w:val="single" w:sz="4" w:space="0" w:color="auto"/>
              <w:bottom w:val="single" w:sz="4" w:space="0" w:color="auto"/>
              <w:right w:val="single" w:sz="8" w:space="0" w:color="auto"/>
            </w:tcBorders>
            <w:vAlign w:val="bottom"/>
          </w:tcPr>
          <w:p w:rsidR="00C8511D" w:rsidRPr="00CD60D1" w:rsidRDefault="00C8511D"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C8511D" w:rsidRPr="00CD60D1" w:rsidRDefault="00C8511D" w:rsidP="00754545">
            <w:pPr>
              <w:jc w:val="center"/>
            </w:pPr>
            <w:r w:rsidRPr="00CD60D1">
              <w:rPr>
                <w:rFonts w:ascii="Wingdings 2" w:eastAsia="Wingdings 2" w:hAnsi="Wingdings 2" w:cs="Wingdings 2"/>
                <w:w w:val="91"/>
              </w:rPr>
              <w:t></w:t>
            </w:r>
          </w:p>
        </w:tc>
        <w:tc>
          <w:tcPr>
            <w:tcW w:w="376" w:type="pct"/>
            <w:tcBorders>
              <w:top w:val="single" w:sz="4" w:space="0" w:color="auto"/>
              <w:left w:val="single" w:sz="4" w:space="0" w:color="auto"/>
              <w:bottom w:val="single" w:sz="4" w:space="0" w:color="auto"/>
              <w:right w:val="single" w:sz="8" w:space="0" w:color="auto"/>
            </w:tcBorders>
            <w:vAlign w:val="bottom"/>
          </w:tcPr>
          <w:p w:rsidR="00C8511D" w:rsidRPr="00CD60D1" w:rsidRDefault="00C8511D" w:rsidP="00754545">
            <w:pPr>
              <w:jc w:val="center"/>
              <w:rPr>
                <w:rFonts w:ascii="Wingdings 2" w:eastAsia="Wingdings 2" w:hAnsi="Wingdings 2" w:cs="Wingdings 2"/>
                <w:w w:val="91"/>
              </w:rPr>
            </w:pPr>
          </w:p>
        </w:tc>
        <w:tc>
          <w:tcPr>
            <w:tcW w:w="1040" w:type="pct"/>
            <w:vMerge/>
            <w:tcBorders>
              <w:bottom w:val="single" w:sz="4" w:space="0" w:color="auto"/>
              <w:right w:val="single" w:sz="8" w:space="0" w:color="auto"/>
            </w:tcBorders>
            <w:vAlign w:val="bottom"/>
          </w:tcPr>
          <w:p w:rsidR="00C8511D" w:rsidRPr="00CD60D1" w:rsidRDefault="00C8511D" w:rsidP="00754545">
            <w:pPr>
              <w:spacing w:line="244" w:lineRule="exact"/>
              <w:jc w:val="center"/>
            </w:pPr>
          </w:p>
        </w:tc>
        <w:tc>
          <w:tcPr>
            <w:tcW w:w="16" w:type="pct"/>
            <w:vAlign w:val="bottom"/>
          </w:tcPr>
          <w:p w:rsidR="00C8511D" w:rsidRPr="00CD60D1" w:rsidRDefault="00C8511D" w:rsidP="00754545"/>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C8511D">
        <w:rPr>
          <w:rFonts w:eastAsia="Times New Roman"/>
          <w:sz w:val="24"/>
          <w:szCs w:val="24"/>
        </w:rPr>
        <w:t>Яргомжского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C8511D">
        <w:rPr>
          <w:rFonts w:eastAsia="Times New Roman"/>
          <w:sz w:val="24"/>
          <w:szCs w:val="24"/>
        </w:rPr>
        <w:t>Яргомжского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lastRenderedPageBreak/>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3F18CC">
        <w:rPr>
          <w:rFonts w:eastAsia="Times New Roman"/>
          <w:sz w:val="24"/>
          <w:szCs w:val="24"/>
        </w:rPr>
        <w:t>уменьшением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3F18CC">
        <w:rPr>
          <w:rFonts w:eastAsia="Times New Roman"/>
          <w:sz w:val="24"/>
          <w:szCs w:val="24"/>
        </w:rPr>
        <w:t xml:space="preserve">отрицательную </w:t>
      </w:r>
      <w:r>
        <w:rPr>
          <w:rFonts w:eastAsia="Times New Roman"/>
          <w:sz w:val="24"/>
          <w:szCs w:val="24"/>
        </w:rPr>
        <w:t>динамику численности населения поселений, связанную с естественн</w:t>
      </w:r>
      <w:r w:rsidR="003F18CC">
        <w:rPr>
          <w:rFonts w:eastAsia="Times New Roman"/>
          <w:sz w:val="24"/>
          <w:szCs w:val="24"/>
        </w:rPr>
        <w:t>ой</w:t>
      </w:r>
      <w:r w:rsidR="00642020">
        <w:rPr>
          <w:rFonts w:eastAsia="Times New Roman"/>
          <w:sz w:val="24"/>
          <w:szCs w:val="24"/>
        </w:rPr>
        <w:t xml:space="preserve"> </w:t>
      </w:r>
      <w:r w:rsidR="003F18CC">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3F18CC">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C8511D">
        <w:rPr>
          <w:rFonts w:eastAsia="Times New Roman"/>
          <w:sz w:val="24"/>
          <w:szCs w:val="24"/>
        </w:rPr>
        <w:t>Яргомжского</w:t>
      </w:r>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3F18CC" w:rsidP="00336416">
            <w:pPr>
              <w:jc w:val="center"/>
            </w:pPr>
            <w:r>
              <w:t>2977</w:t>
            </w:r>
          </w:p>
        </w:tc>
        <w:tc>
          <w:tcPr>
            <w:tcW w:w="504" w:type="pct"/>
            <w:tcBorders>
              <w:bottom w:val="single" w:sz="8" w:space="0" w:color="auto"/>
              <w:right w:val="single" w:sz="8" w:space="0" w:color="auto"/>
            </w:tcBorders>
            <w:vAlign w:val="center"/>
          </w:tcPr>
          <w:p w:rsidR="00336416" w:rsidRPr="00336416" w:rsidRDefault="003F18CC" w:rsidP="00336416">
            <w:pPr>
              <w:jc w:val="center"/>
            </w:pPr>
            <w:r>
              <w:t>3008</w:t>
            </w:r>
          </w:p>
        </w:tc>
        <w:tc>
          <w:tcPr>
            <w:tcW w:w="504" w:type="pct"/>
            <w:tcBorders>
              <w:bottom w:val="single" w:sz="8" w:space="0" w:color="auto"/>
              <w:right w:val="single" w:sz="8" w:space="0" w:color="auto"/>
            </w:tcBorders>
            <w:vAlign w:val="center"/>
          </w:tcPr>
          <w:p w:rsidR="00336416" w:rsidRPr="00336416" w:rsidRDefault="003F18CC" w:rsidP="00336416">
            <w:pPr>
              <w:jc w:val="center"/>
            </w:pPr>
            <w:r>
              <w:t>2980</w:t>
            </w:r>
          </w:p>
        </w:tc>
        <w:tc>
          <w:tcPr>
            <w:tcW w:w="504" w:type="pct"/>
            <w:tcBorders>
              <w:bottom w:val="single" w:sz="8" w:space="0" w:color="auto"/>
              <w:right w:val="single" w:sz="8" w:space="0" w:color="auto"/>
            </w:tcBorders>
            <w:vAlign w:val="center"/>
          </w:tcPr>
          <w:p w:rsidR="00336416" w:rsidRPr="00336416" w:rsidRDefault="003F18CC" w:rsidP="00336416">
            <w:pPr>
              <w:jc w:val="center"/>
            </w:pPr>
            <w:r>
              <w:t>2978</w:t>
            </w:r>
          </w:p>
        </w:tc>
        <w:tc>
          <w:tcPr>
            <w:tcW w:w="505" w:type="pct"/>
            <w:tcBorders>
              <w:bottom w:val="single" w:sz="8" w:space="0" w:color="auto"/>
              <w:right w:val="single" w:sz="8" w:space="0" w:color="auto"/>
            </w:tcBorders>
            <w:vAlign w:val="center"/>
          </w:tcPr>
          <w:p w:rsidR="00336416" w:rsidRPr="00336416" w:rsidRDefault="003F18CC" w:rsidP="00336416">
            <w:pPr>
              <w:jc w:val="center"/>
            </w:pPr>
            <w:r>
              <w:t>2952</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Pr="00642020" w:rsidRDefault="00642020" w:rsidP="00642020">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B56E94" w:rsidRDefault="00B56E94" w:rsidP="00DA66BC">
      <w:pPr>
        <w:tabs>
          <w:tab w:val="left" w:pos="1003"/>
        </w:tabs>
        <w:spacing w:line="251" w:lineRule="auto"/>
        <w:ind w:left="703" w:right="20"/>
        <w:jc w:val="right"/>
        <w:rPr>
          <w:rFonts w:eastAsia="Times New Roman"/>
          <w:sz w:val="24"/>
          <w:szCs w:val="24"/>
        </w:rPr>
      </w:pPr>
    </w:p>
    <w:p w:rsidR="00642020" w:rsidRDefault="00642020" w:rsidP="00DA66BC">
      <w:pPr>
        <w:tabs>
          <w:tab w:val="left" w:pos="1003"/>
        </w:tabs>
        <w:spacing w:line="251" w:lineRule="auto"/>
        <w:ind w:left="703" w:right="20"/>
        <w:jc w:val="right"/>
        <w:rPr>
          <w:rFonts w:eastAsia="Times New Roman"/>
          <w:sz w:val="24"/>
          <w:szCs w:val="24"/>
        </w:rPr>
      </w:pPr>
    </w:p>
    <w:p w:rsidR="00642020" w:rsidRDefault="00642020" w:rsidP="00DA66BC">
      <w:pPr>
        <w:tabs>
          <w:tab w:val="left" w:pos="1003"/>
        </w:tabs>
        <w:spacing w:line="251" w:lineRule="auto"/>
        <w:ind w:left="703" w:right="20"/>
        <w:jc w:val="right"/>
        <w:rPr>
          <w:rFonts w:eastAsia="Times New Roman"/>
          <w:sz w:val="24"/>
          <w:szCs w:val="24"/>
        </w:rPr>
      </w:pP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lastRenderedPageBreak/>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3F18CC" w:rsidTr="0049010C">
        <w:trPr>
          <w:trHeight w:val="254"/>
        </w:trPr>
        <w:tc>
          <w:tcPr>
            <w:tcW w:w="2335" w:type="pct"/>
            <w:tcBorders>
              <w:left w:val="single" w:sz="8" w:space="0" w:color="auto"/>
              <w:bottom w:val="single" w:sz="8" w:space="0" w:color="auto"/>
              <w:right w:val="single" w:sz="8" w:space="0" w:color="auto"/>
            </w:tcBorders>
            <w:vAlign w:val="bottom"/>
          </w:tcPr>
          <w:p w:rsidR="003F18CC" w:rsidRDefault="003F18CC"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3F18CC" w:rsidRPr="00336416" w:rsidRDefault="003F18CC" w:rsidP="000317E1">
            <w:pPr>
              <w:jc w:val="center"/>
            </w:pPr>
            <w:r>
              <w:t>2977</w:t>
            </w:r>
          </w:p>
        </w:tc>
        <w:tc>
          <w:tcPr>
            <w:tcW w:w="306" w:type="pct"/>
            <w:tcBorders>
              <w:bottom w:val="single" w:sz="8" w:space="0" w:color="auto"/>
              <w:right w:val="single" w:sz="8" w:space="0" w:color="auto"/>
            </w:tcBorders>
            <w:vAlign w:val="center"/>
          </w:tcPr>
          <w:p w:rsidR="003F18CC" w:rsidRPr="00336416" w:rsidRDefault="003F18CC" w:rsidP="000317E1">
            <w:pPr>
              <w:jc w:val="center"/>
            </w:pPr>
            <w:r>
              <w:t>3008</w:t>
            </w:r>
          </w:p>
        </w:tc>
        <w:tc>
          <w:tcPr>
            <w:tcW w:w="306" w:type="pct"/>
            <w:tcBorders>
              <w:bottom w:val="single" w:sz="8" w:space="0" w:color="auto"/>
              <w:right w:val="single" w:sz="8" w:space="0" w:color="auto"/>
            </w:tcBorders>
            <w:vAlign w:val="center"/>
          </w:tcPr>
          <w:p w:rsidR="003F18CC" w:rsidRPr="00336416" w:rsidRDefault="003F18CC" w:rsidP="000317E1">
            <w:pPr>
              <w:jc w:val="center"/>
            </w:pPr>
            <w:r>
              <w:t>2980</w:t>
            </w:r>
          </w:p>
        </w:tc>
        <w:tc>
          <w:tcPr>
            <w:tcW w:w="306" w:type="pct"/>
            <w:tcBorders>
              <w:bottom w:val="single" w:sz="8" w:space="0" w:color="auto"/>
              <w:right w:val="single" w:sz="8" w:space="0" w:color="auto"/>
            </w:tcBorders>
            <w:vAlign w:val="center"/>
          </w:tcPr>
          <w:p w:rsidR="003F18CC" w:rsidRPr="00336416" w:rsidRDefault="003F18CC" w:rsidP="000317E1">
            <w:pPr>
              <w:jc w:val="center"/>
            </w:pPr>
            <w:r>
              <w:t>2978</w:t>
            </w:r>
          </w:p>
        </w:tc>
        <w:tc>
          <w:tcPr>
            <w:tcW w:w="306" w:type="pct"/>
            <w:tcBorders>
              <w:bottom w:val="single" w:sz="8" w:space="0" w:color="auto"/>
              <w:right w:val="single" w:sz="8" w:space="0" w:color="auto"/>
            </w:tcBorders>
            <w:vAlign w:val="center"/>
          </w:tcPr>
          <w:p w:rsidR="003F18CC" w:rsidRPr="00336416" w:rsidRDefault="003F18CC" w:rsidP="000317E1">
            <w:pPr>
              <w:jc w:val="center"/>
            </w:pPr>
            <w:r>
              <w:t>2952</w:t>
            </w:r>
          </w:p>
        </w:tc>
        <w:tc>
          <w:tcPr>
            <w:tcW w:w="1112" w:type="pct"/>
            <w:tcBorders>
              <w:bottom w:val="single" w:sz="8" w:space="0" w:color="auto"/>
              <w:right w:val="single" w:sz="8" w:space="0" w:color="auto"/>
            </w:tcBorders>
          </w:tcPr>
          <w:p w:rsidR="003F18CC" w:rsidRDefault="003F18CC" w:rsidP="00C1266F">
            <w:pPr>
              <w:jc w:val="center"/>
            </w:pPr>
            <w:r>
              <w:t>6746</w:t>
            </w:r>
          </w:p>
        </w:tc>
        <w:tc>
          <w:tcPr>
            <w:tcW w:w="15" w:type="pct"/>
            <w:vAlign w:val="bottom"/>
          </w:tcPr>
          <w:p w:rsidR="003F18CC" w:rsidRDefault="003F18CC" w:rsidP="00C1266F"/>
        </w:tc>
        <w:tc>
          <w:tcPr>
            <w:tcW w:w="8" w:type="pct"/>
            <w:vAlign w:val="bottom"/>
          </w:tcPr>
          <w:p w:rsidR="003F18CC" w:rsidRDefault="003F18CC"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C8511D">
        <w:rPr>
          <w:rFonts w:eastAsia="Times New Roman"/>
          <w:sz w:val="24"/>
          <w:szCs w:val="24"/>
        </w:rPr>
        <w:t>Яргомжского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C8511D">
        <w:rPr>
          <w:rFonts w:eastAsia="Times New Roman"/>
          <w:sz w:val="24"/>
          <w:szCs w:val="24"/>
        </w:rPr>
        <w:t>Яргомжского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C8511D">
        <w:rPr>
          <w:rFonts w:eastAsia="Times New Roman"/>
          <w:sz w:val="24"/>
          <w:szCs w:val="24"/>
        </w:rPr>
        <w:t>Яргомжского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C8511D">
        <w:rPr>
          <w:rFonts w:eastAsia="Times New Roman"/>
          <w:sz w:val="24"/>
          <w:szCs w:val="24"/>
        </w:rPr>
        <w:t>Яргомжского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C8511D">
        <w:rPr>
          <w:rFonts w:eastAsia="Times New Roman"/>
          <w:sz w:val="24"/>
          <w:szCs w:val="24"/>
        </w:rPr>
        <w:t>Яргомжского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C8511D">
        <w:rPr>
          <w:rFonts w:eastAsia="Times New Roman"/>
          <w:sz w:val="24"/>
          <w:szCs w:val="24"/>
        </w:rPr>
        <w:t>Яргомжского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w:t>
      </w:r>
      <w:r>
        <w:rPr>
          <w:rFonts w:eastAsia="Times New Roman"/>
          <w:sz w:val="24"/>
          <w:szCs w:val="24"/>
        </w:rPr>
        <w:lastRenderedPageBreak/>
        <w:t>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C8511D">
        <w:rPr>
          <w:rFonts w:eastAsia="Times New Roman"/>
          <w:sz w:val="24"/>
          <w:szCs w:val="24"/>
        </w:rPr>
        <w:t>Яргомжском</w:t>
      </w:r>
      <w:r w:rsidR="00C223ED" w:rsidRPr="00C97F9B">
        <w:rPr>
          <w:rFonts w:eastAsia="Times New Roman"/>
          <w:sz w:val="24"/>
          <w:szCs w:val="24"/>
        </w:rPr>
        <w:t>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СП 89.13330.2012,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C507DA">
            <w:pPr>
              <w:spacing w:after="20"/>
            </w:pPr>
            <w:r w:rsidRPr="00C507DA">
              <w:rPr>
                <w:rFonts w:eastAsia="Times New Roman"/>
              </w:rPr>
              <w:t>СанПиН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C8511D">
        <w:rPr>
          <w:rFonts w:eastAsia="Times New Roman"/>
          <w:sz w:val="24"/>
          <w:szCs w:val="24"/>
        </w:rPr>
        <w:t>Яргомжского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C8511D">
        <w:rPr>
          <w:rFonts w:eastAsia="Times New Roman"/>
          <w:sz w:val="24"/>
          <w:szCs w:val="24"/>
        </w:rPr>
        <w:t>Яргомжского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C8511D">
        <w:rPr>
          <w:rFonts w:eastAsia="Times New Roman"/>
          <w:sz w:val="24"/>
          <w:szCs w:val="24"/>
        </w:rPr>
        <w:t>Яргомжского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C8511D">
        <w:rPr>
          <w:rFonts w:eastAsia="Times New Roman"/>
          <w:sz w:val="24"/>
          <w:szCs w:val="24"/>
        </w:rPr>
        <w:t>Яргомжского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C8511D">
        <w:rPr>
          <w:rFonts w:eastAsia="Times New Roman"/>
          <w:sz w:val="24"/>
          <w:szCs w:val="24"/>
        </w:rPr>
        <w:t>Яргомжского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(515 легк. авт./1000 чел. : 250 легк.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8125209"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8125210"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C8511D">
        <w:rPr>
          <w:rFonts w:eastAsia="Times New Roman"/>
          <w:sz w:val="24"/>
          <w:szCs w:val="24"/>
        </w:rPr>
        <w:t>Яргомжского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C8511D">
        <w:rPr>
          <w:rFonts w:eastAsia="Times New Roman"/>
          <w:sz w:val="24"/>
          <w:szCs w:val="24"/>
        </w:rPr>
        <w:t>Яргомжского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C8511D">
        <w:rPr>
          <w:rFonts w:eastAsia="Times New Roman"/>
          <w:sz w:val="24"/>
          <w:szCs w:val="24"/>
        </w:rPr>
        <w:t>Яргомжского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C8511D">
        <w:rPr>
          <w:rFonts w:eastAsia="Times New Roman"/>
          <w:sz w:val="24"/>
          <w:szCs w:val="24"/>
        </w:rPr>
        <w:t>Яргомжского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r w:rsidR="00C8511D">
        <w:rPr>
          <w:rFonts w:eastAsia="Times New Roman"/>
          <w:sz w:val="24"/>
          <w:szCs w:val="24"/>
        </w:rPr>
        <w:t>Яргомжского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C8511D">
        <w:rPr>
          <w:rFonts w:eastAsia="Times New Roman"/>
          <w:sz w:val="24"/>
          <w:szCs w:val="24"/>
        </w:rPr>
        <w:t>Яргомжского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C8511D">
        <w:rPr>
          <w:rFonts w:eastAsia="Times New Roman"/>
          <w:sz w:val="24"/>
          <w:szCs w:val="24"/>
        </w:rPr>
        <w:t>Яргомжского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649B3" w:rsidRDefault="007649B3" w:rsidP="007649B3">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7649B3" w:rsidRDefault="007649B3" w:rsidP="007649B3">
      <w:pPr>
        <w:spacing w:after="60"/>
        <w:ind w:firstLine="426"/>
        <w:jc w:val="both"/>
        <w:rPr>
          <w:b/>
          <w:sz w:val="24"/>
          <w:szCs w:val="24"/>
        </w:rPr>
      </w:pPr>
      <w:r>
        <w:rPr>
          <w:sz w:val="24"/>
          <w:szCs w:val="24"/>
        </w:rPr>
        <w:t>СП 59.13330.2012 Доступность зданий и сооружений для маломобильных групп населения. Актуализированная редакция СНиП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7649B3" w:rsidRDefault="007649B3" w:rsidP="007649B3">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lastRenderedPageBreak/>
        <w:t xml:space="preserve">СанПиН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11D" w:rsidRDefault="00C8511D" w:rsidP="00D655DF">
      <w:r>
        <w:separator/>
      </w:r>
    </w:p>
  </w:endnote>
  <w:endnote w:type="continuationSeparator" w:id="1">
    <w:p w:rsidR="00C8511D" w:rsidRDefault="00C8511D"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C8511D" w:rsidRDefault="00C8511D">
        <w:pPr>
          <w:pStyle w:val="a7"/>
          <w:jc w:val="right"/>
        </w:pPr>
        <w:fldSimple w:instr=" PAGE   \* MERGEFORMAT ">
          <w:r w:rsidR="003F18CC">
            <w:rPr>
              <w:noProof/>
            </w:rPr>
            <w:t>145</w:t>
          </w:r>
        </w:fldSimple>
      </w:p>
    </w:sdtContent>
  </w:sdt>
  <w:p w:rsidR="00C8511D" w:rsidRDefault="00C851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11D" w:rsidRDefault="00C8511D" w:rsidP="00D655DF">
      <w:r>
        <w:separator/>
      </w:r>
    </w:p>
  </w:footnote>
  <w:footnote w:type="continuationSeparator" w:id="1">
    <w:p w:rsidR="00C8511D" w:rsidRDefault="00C8511D"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18CC"/>
    <w:rsid w:val="003F281D"/>
    <w:rsid w:val="003F77EC"/>
    <w:rsid w:val="00406D48"/>
    <w:rsid w:val="00433756"/>
    <w:rsid w:val="00447DC9"/>
    <w:rsid w:val="00452D30"/>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4591"/>
    <w:rsid w:val="00B56E94"/>
    <w:rsid w:val="00B87787"/>
    <w:rsid w:val="00BA5C54"/>
    <w:rsid w:val="00BE6E97"/>
    <w:rsid w:val="00BF0CE3"/>
    <w:rsid w:val="00C04293"/>
    <w:rsid w:val="00C1266F"/>
    <w:rsid w:val="00C223ED"/>
    <w:rsid w:val="00C507DA"/>
    <w:rsid w:val="00C54EB4"/>
    <w:rsid w:val="00C60451"/>
    <w:rsid w:val="00C70620"/>
    <w:rsid w:val="00C70AA2"/>
    <w:rsid w:val="00C74246"/>
    <w:rsid w:val="00C847DD"/>
    <w:rsid w:val="00C8511D"/>
    <w:rsid w:val="00C9113D"/>
    <w:rsid w:val="00C939FE"/>
    <w:rsid w:val="00C97F9B"/>
    <w:rsid w:val="00CB3863"/>
    <w:rsid w:val="00CB5664"/>
    <w:rsid w:val="00CB65C2"/>
    <w:rsid w:val="00CD4781"/>
    <w:rsid w:val="00CD60D1"/>
    <w:rsid w:val="00CE4AFE"/>
    <w:rsid w:val="00D00869"/>
    <w:rsid w:val="00D31043"/>
    <w:rsid w:val="00D35C47"/>
    <w:rsid w:val="00D559C9"/>
    <w:rsid w:val="00D655DF"/>
    <w:rsid w:val="00D67236"/>
    <w:rsid w:val="00D71EB3"/>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204</Pages>
  <Words>73875</Words>
  <Characters>421090</Characters>
  <Application>Microsoft Office Word</Application>
  <DocSecurity>0</DocSecurity>
  <Lines>3509</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57</cp:revision>
  <cp:lastPrinted>2018-01-15T06:18:00Z</cp:lastPrinted>
  <dcterms:created xsi:type="dcterms:W3CDTF">2018-01-09T13:16:00Z</dcterms:created>
  <dcterms:modified xsi:type="dcterms:W3CDTF">2018-01-22T08:20:00Z</dcterms:modified>
</cp:coreProperties>
</file>