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72B" w:rsidRPr="00C9672B" w:rsidRDefault="00C9672B" w:rsidP="00C9672B">
      <w:pPr>
        <w:ind w:left="-851" w:right="-284"/>
        <w:jc w:val="center"/>
        <w:rPr>
          <w:rFonts w:ascii="Times New Roman" w:hAnsi="Times New Roman" w:cs="Times New Roman"/>
          <w:b/>
          <w:bCs/>
          <w:sz w:val="28"/>
          <w:szCs w:val="28"/>
        </w:rPr>
      </w:pPr>
      <w:bookmarkStart w:id="0" w:name="_GoBack"/>
      <w:r w:rsidRPr="00C9672B">
        <w:rPr>
          <w:rFonts w:ascii="Times New Roman" w:hAnsi="Times New Roman" w:cs="Times New Roman"/>
          <w:b/>
          <w:bCs/>
          <w:sz w:val="28"/>
          <w:szCs w:val="28"/>
        </w:rPr>
        <w:t>Мнение Минтруда о 14 днях непрерывного отпуска</w:t>
      </w:r>
    </w:p>
    <w:bookmarkEnd w:id="0"/>
    <w:p w:rsidR="00C9672B" w:rsidRPr="00E8345A" w:rsidRDefault="00C9672B" w:rsidP="00C9672B">
      <w:pPr>
        <w:ind w:left="-851" w:right="-284"/>
        <w:jc w:val="center"/>
        <w:rPr>
          <w:rFonts w:ascii="Times New Roman" w:hAnsi="Times New Roman" w:cs="Times New Roman"/>
          <w:b/>
          <w:bCs/>
          <w:sz w:val="23"/>
          <w:szCs w:val="23"/>
        </w:rPr>
      </w:pPr>
      <w:r w:rsidRPr="00E8345A">
        <w:rPr>
          <w:rFonts w:ascii="Times New Roman" w:hAnsi="Times New Roman" w:cs="Times New Roman"/>
          <w:sz w:val="23"/>
          <w:szCs w:val="23"/>
        </w:rPr>
        <w:t>При разделении отпуска на части 14-дневная часть отпуска должна формироваться именно из дней отпуска, предоставляемого за текущий рабочий год</w:t>
      </w:r>
    </w:p>
    <w:p w:rsidR="00D81E15" w:rsidRPr="00C9672B" w:rsidRDefault="00D81E15" w:rsidP="00C9672B">
      <w:pPr>
        <w:pStyle w:val="s3"/>
        <w:shd w:val="clear" w:color="auto" w:fill="FFFFFF"/>
        <w:ind w:left="-851" w:right="-284"/>
        <w:jc w:val="center"/>
        <w:rPr>
          <w:b/>
          <w:sz w:val="28"/>
          <w:szCs w:val="28"/>
        </w:rPr>
      </w:pPr>
      <w:r w:rsidRPr="00C9672B">
        <w:rPr>
          <w:b/>
          <w:sz w:val="28"/>
          <w:szCs w:val="28"/>
        </w:rPr>
        <w:t>Письмо Министерства труда и социальной защиты РФ от 24 сентября 2019 г. N 14-2/ООГ-6958</w:t>
      </w:r>
    </w:p>
    <w:p w:rsidR="00D81E15"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b/>
          <w:bCs/>
          <w:sz w:val="23"/>
          <w:szCs w:val="23"/>
          <w:lang w:eastAsia="ru-RU"/>
        </w:rPr>
        <w:t>Вопрос:</w:t>
      </w:r>
      <w:r w:rsidRPr="00C9672B">
        <w:rPr>
          <w:rFonts w:ascii="Times New Roman" w:eastAsia="Times New Roman" w:hAnsi="Times New Roman" w:cs="Times New Roman"/>
          <w:sz w:val="23"/>
          <w:szCs w:val="23"/>
          <w:lang w:eastAsia="ru-RU"/>
        </w:rPr>
        <w:t> Согласно </w:t>
      </w:r>
      <w:hyperlink r:id="rId5" w:anchor="/document/12125268/entry/125" w:history="1">
        <w:r w:rsidRPr="00C9672B">
          <w:rPr>
            <w:rFonts w:ascii="Times New Roman" w:eastAsia="Times New Roman" w:hAnsi="Times New Roman" w:cs="Times New Roman"/>
            <w:sz w:val="23"/>
            <w:szCs w:val="23"/>
            <w:lang w:eastAsia="ru-RU"/>
          </w:rPr>
          <w:t>ст. 125</w:t>
        </w:r>
      </w:hyperlink>
      <w:r w:rsidRPr="00C9672B">
        <w:rPr>
          <w:rFonts w:ascii="Times New Roman" w:eastAsia="Times New Roman" w:hAnsi="Times New Roman" w:cs="Times New Roman"/>
          <w:sz w:val="23"/>
          <w:szCs w:val="23"/>
          <w:lang w:eastAsia="ru-RU"/>
        </w:rPr>
        <w:t>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 Идет ли в данной норме речь об отпуске, предоставляемом за соответствующий рабочий год или в рабочем году? Например, если работнику предоставлено 14 календарных дней отпуска подряд, из которых 7 календарных дней из отпуска за текущий рабочий год, а другие 7 - отпуск, перенесенный с предыдущего рабочего года на основании </w:t>
      </w:r>
      <w:hyperlink r:id="rId6" w:anchor="/document/12125268/entry/124" w:history="1">
        <w:r w:rsidRPr="00C9672B">
          <w:rPr>
            <w:rFonts w:ascii="Times New Roman" w:eastAsia="Times New Roman" w:hAnsi="Times New Roman" w:cs="Times New Roman"/>
            <w:sz w:val="23"/>
            <w:szCs w:val="23"/>
            <w:lang w:eastAsia="ru-RU"/>
          </w:rPr>
          <w:t>ст. 124</w:t>
        </w:r>
      </w:hyperlink>
      <w:r w:rsidRPr="00C9672B">
        <w:rPr>
          <w:rFonts w:ascii="Times New Roman" w:eastAsia="Times New Roman" w:hAnsi="Times New Roman" w:cs="Times New Roman"/>
          <w:sz w:val="23"/>
          <w:szCs w:val="23"/>
          <w:lang w:eastAsia="ru-RU"/>
        </w:rPr>
        <w:t> ТК РФ: будет ли в такой ситуации выполнено требование ст. 125 ТК РФ? Можно ли будет оставшуюся часть отпуска за текущий рабочий год предоставить частями, меньшими, чем 14 дней?</w:t>
      </w:r>
    </w:p>
    <w:p w:rsidR="00C9672B" w:rsidRPr="00C9672B" w:rsidRDefault="00C9672B"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b/>
          <w:bCs/>
          <w:sz w:val="23"/>
          <w:szCs w:val="23"/>
          <w:lang w:eastAsia="ru-RU"/>
        </w:rPr>
        <w:t>Ответ</w:t>
      </w:r>
      <w:r w:rsidRPr="00C9672B">
        <w:rPr>
          <w:rFonts w:ascii="Times New Roman" w:eastAsia="Times New Roman" w:hAnsi="Times New Roman" w:cs="Times New Roman"/>
          <w:sz w:val="23"/>
          <w:szCs w:val="23"/>
          <w:lang w:eastAsia="ru-RU"/>
        </w:rPr>
        <w:t>: Департамент оплаты труда, трудовых отношений и социального партнерства Министерства труда и социальной защиты Российской Федерации рассмотрел в пределах компетенции Ваше обращение N ОГ-40641 от 4 сентября 2018 г. по вопросу о разделении отпуска на части и сообщает.</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В соответствии с </w:t>
      </w:r>
      <w:hyperlink r:id="rId7" w:anchor="/document/70192438/entry/1200" w:history="1">
        <w:r w:rsidRPr="00C9672B">
          <w:rPr>
            <w:rFonts w:ascii="Times New Roman" w:eastAsia="Times New Roman" w:hAnsi="Times New Roman" w:cs="Times New Roman"/>
            <w:sz w:val="23"/>
            <w:szCs w:val="23"/>
            <w:lang w:eastAsia="ru-RU"/>
          </w:rPr>
          <w:t>Положением</w:t>
        </w:r>
      </w:hyperlink>
      <w:r w:rsidRPr="00C9672B">
        <w:rPr>
          <w:rFonts w:ascii="Times New Roman" w:eastAsia="Times New Roman" w:hAnsi="Times New Roman" w:cs="Times New Roman"/>
          <w:sz w:val="23"/>
          <w:szCs w:val="23"/>
          <w:lang w:eastAsia="ru-RU"/>
        </w:rPr>
        <w:t> о Министерстве труда и социальной защиты Российской Федерации, утвержденным </w:t>
      </w:r>
      <w:hyperlink r:id="rId8" w:anchor="/document/70192438/entry/0" w:history="1">
        <w:r w:rsidRPr="00C9672B">
          <w:rPr>
            <w:rFonts w:ascii="Times New Roman" w:eastAsia="Times New Roman" w:hAnsi="Times New Roman" w:cs="Times New Roman"/>
            <w:sz w:val="23"/>
            <w:szCs w:val="23"/>
            <w:lang w:eastAsia="ru-RU"/>
          </w:rPr>
          <w:t>постановлением</w:t>
        </w:r>
      </w:hyperlink>
      <w:r w:rsidRPr="00C9672B">
        <w:rPr>
          <w:rFonts w:ascii="Times New Roman" w:eastAsia="Times New Roman" w:hAnsi="Times New Roman" w:cs="Times New Roman"/>
          <w:sz w:val="23"/>
          <w:szCs w:val="23"/>
          <w:lang w:eastAsia="ru-RU"/>
        </w:rPr>
        <w:t> Правительства Российской Федерации от 19 июня 2012 г. N 610, Минтруд России дает разъяснения по вопросам, отнесенным к компетенции Министерства, в случаях, предусмотренных законодательством Российской Федерации.</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Мнение Минтруда России по вопросам, содержащимся в Вашем обращении, не является разъяснением и нормативным правовым актом.</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В соответствии со </w:t>
      </w:r>
      <w:hyperlink r:id="rId9" w:anchor="/document/12125268/entry/115" w:history="1">
        <w:r w:rsidRPr="00C9672B">
          <w:rPr>
            <w:rFonts w:ascii="Times New Roman" w:eastAsia="Times New Roman" w:hAnsi="Times New Roman" w:cs="Times New Roman"/>
            <w:sz w:val="23"/>
            <w:szCs w:val="23"/>
            <w:lang w:eastAsia="ru-RU"/>
          </w:rPr>
          <w:t>статьей 115</w:t>
        </w:r>
      </w:hyperlink>
      <w:r w:rsidRPr="00C9672B">
        <w:rPr>
          <w:rFonts w:ascii="Times New Roman" w:eastAsia="Times New Roman" w:hAnsi="Times New Roman" w:cs="Times New Roman"/>
          <w:sz w:val="23"/>
          <w:szCs w:val="23"/>
          <w:lang w:eastAsia="ru-RU"/>
        </w:rPr>
        <w:t> Трудового кодекса Российской Федерации ежегодный основной оплачиваемый отпуск предоставляется работникам продолжительностью 28 календарных дней.</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ТК РФ и иными федеральными законами.</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Согласно </w:t>
      </w:r>
      <w:hyperlink r:id="rId10" w:anchor="/document/12125268/entry/125" w:history="1">
        <w:r w:rsidRPr="00C9672B">
          <w:rPr>
            <w:rFonts w:ascii="Times New Roman" w:eastAsia="Times New Roman" w:hAnsi="Times New Roman" w:cs="Times New Roman"/>
            <w:sz w:val="23"/>
            <w:szCs w:val="23"/>
            <w:lang w:eastAsia="ru-RU"/>
          </w:rPr>
          <w:t>статье 125</w:t>
        </w:r>
      </w:hyperlink>
      <w:r w:rsidRPr="00C9672B">
        <w:rPr>
          <w:rFonts w:ascii="Times New Roman" w:eastAsia="Times New Roman" w:hAnsi="Times New Roman" w:cs="Times New Roman"/>
          <w:sz w:val="23"/>
          <w:szCs w:val="23"/>
          <w:lang w:eastAsia="ru-RU"/>
        </w:rPr>
        <w:t> ТК РФ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 xml:space="preserve">Следует учесть, что отпуск предоставляется за текущий рабочий год, </w:t>
      </w:r>
      <w:proofErr w:type="gramStart"/>
      <w:r w:rsidRPr="00C9672B">
        <w:rPr>
          <w:rFonts w:ascii="Times New Roman" w:eastAsia="Times New Roman" w:hAnsi="Times New Roman" w:cs="Times New Roman"/>
          <w:sz w:val="23"/>
          <w:szCs w:val="23"/>
          <w:lang w:eastAsia="ru-RU"/>
        </w:rPr>
        <w:t>следовательно</w:t>
      </w:r>
      <w:proofErr w:type="gramEnd"/>
      <w:r w:rsidRPr="00C9672B">
        <w:rPr>
          <w:rFonts w:ascii="Times New Roman" w:eastAsia="Times New Roman" w:hAnsi="Times New Roman" w:cs="Times New Roman"/>
          <w:sz w:val="23"/>
          <w:szCs w:val="23"/>
          <w:lang w:eastAsia="ru-RU"/>
        </w:rPr>
        <w:t xml:space="preserve"> 14 календарных дней предоставляются именно за текущий рабочий год.</w:t>
      </w:r>
    </w:p>
    <w:p w:rsidR="00D81E15" w:rsidRPr="00C9672B"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Неиспользованные дни отпуска в предыдущий рабочий год могут быть присоединены к отпуску за текущий рабочий год.</w:t>
      </w:r>
    </w:p>
    <w:p w:rsidR="00D81E15" w:rsidRPr="00C9672B" w:rsidRDefault="00E8345A"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hyperlink r:id="rId11" w:anchor="/document/12125268/entry/0" w:history="1">
        <w:r w:rsidR="00D81E15" w:rsidRPr="00C9672B">
          <w:rPr>
            <w:rFonts w:ascii="Times New Roman" w:eastAsia="Times New Roman" w:hAnsi="Times New Roman" w:cs="Times New Roman"/>
            <w:sz w:val="23"/>
            <w:szCs w:val="23"/>
            <w:lang w:eastAsia="ru-RU"/>
          </w:rPr>
          <w:t>ТК</w:t>
        </w:r>
      </w:hyperlink>
      <w:r w:rsidR="00D81E15" w:rsidRPr="00C9672B">
        <w:rPr>
          <w:rFonts w:ascii="Times New Roman" w:eastAsia="Times New Roman" w:hAnsi="Times New Roman" w:cs="Times New Roman"/>
          <w:sz w:val="23"/>
          <w:szCs w:val="23"/>
          <w:lang w:eastAsia="ru-RU"/>
        </w:rPr>
        <w:t> РФ не решает вопроса о том, на сколько частей может быть разделен отпуск. Следовательно, по взаимной договоренности сторон трудового договора отпуск может быть разделен на несколько частей, но при этом одна часть отпуска должна быть не менее 14 календарных дней. Такое правило соответствует международно-правовым нормам, и в частности </w:t>
      </w:r>
      <w:hyperlink r:id="rId12" w:anchor="/document/2540565/entry/0" w:history="1">
        <w:r w:rsidR="00D81E15" w:rsidRPr="00C9672B">
          <w:rPr>
            <w:rFonts w:ascii="Times New Roman" w:eastAsia="Times New Roman" w:hAnsi="Times New Roman" w:cs="Times New Roman"/>
            <w:sz w:val="23"/>
            <w:szCs w:val="23"/>
            <w:lang w:eastAsia="ru-RU"/>
          </w:rPr>
          <w:t>Конвенции</w:t>
        </w:r>
      </w:hyperlink>
      <w:r w:rsidR="00D81E15" w:rsidRPr="00C9672B">
        <w:rPr>
          <w:rFonts w:ascii="Times New Roman" w:eastAsia="Times New Roman" w:hAnsi="Times New Roman" w:cs="Times New Roman"/>
          <w:sz w:val="23"/>
          <w:szCs w:val="23"/>
          <w:lang w:eastAsia="ru-RU"/>
        </w:rPr>
        <w:t> МОТ N 52 "О ежегодных оплачиваемых отпусках" (1936 г.), ратифицированной Советским Союзом и действующей в настоящее время на территории Российской Федерации.</w:t>
      </w:r>
    </w:p>
    <w:p w:rsidR="00D81E15" w:rsidRDefault="00D81E15" w:rsidP="00C9672B">
      <w:pPr>
        <w:shd w:val="clear" w:color="auto" w:fill="FFFFFF"/>
        <w:spacing w:after="0"/>
        <w:ind w:left="-851" w:right="-284" w:firstLine="851"/>
        <w:jc w:val="both"/>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При разделении отпуска на части не рекомендуется чрезмерно дробить отпуск. Иначе Вы, как работник, не сможете воспользоваться отдыхом для восстановления своей трудоспособности.</w:t>
      </w:r>
    </w:p>
    <w:p w:rsidR="00C9672B" w:rsidRPr="00C9672B" w:rsidRDefault="00C9672B" w:rsidP="00C9672B">
      <w:pPr>
        <w:shd w:val="clear" w:color="auto" w:fill="FFFFFF"/>
        <w:spacing w:after="0" w:line="240" w:lineRule="auto"/>
        <w:ind w:left="-851" w:right="-284"/>
        <w:jc w:val="both"/>
        <w:rPr>
          <w:rFonts w:ascii="Times New Roman" w:eastAsia="Times New Roman" w:hAnsi="Times New Roman" w:cs="Times New Roman"/>
          <w:sz w:val="23"/>
          <w:szCs w:val="23"/>
          <w:lang w:eastAsia="ru-RU"/>
        </w:rPr>
      </w:pPr>
    </w:p>
    <w:tbl>
      <w:tblPr>
        <w:tblW w:w="5589" w:type="pct"/>
        <w:tblInd w:w="-836" w:type="dxa"/>
        <w:shd w:val="clear" w:color="auto" w:fill="FFFFFF"/>
        <w:tblCellMar>
          <w:top w:w="15" w:type="dxa"/>
          <w:left w:w="15" w:type="dxa"/>
          <w:bottom w:w="15" w:type="dxa"/>
          <w:right w:w="15" w:type="dxa"/>
        </w:tblCellMar>
        <w:tblLook w:val="04A0" w:firstRow="1" w:lastRow="0" w:firstColumn="1" w:lastColumn="0" w:noHBand="0" w:noVBand="1"/>
      </w:tblPr>
      <w:tblGrid>
        <w:gridCol w:w="6257"/>
        <w:gridCol w:w="4234"/>
      </w:tblGrid>
      <w:tr w:rsidR="00C9672B" w:rsidRPr="00C9672B" w:rsidTr="00C9672B">
        <w:tc>
          <w:tcPr>
            <w:tcW w:w="2982" w:type="pct"/>
            <w:shd w:val="clear" w:color="auto" w:fill="FFFFFF"/>
            <w:vAlign w:val="bottom"/>
            <w:hideMark/>
          </w:tcPr>
          <w:p w:rsidR="00C9672B" w:rsidRPr="00C9672B" w:rsidRDefault="00C9672B" w:rsidP="00C9672B">
            <w:pPr>
              <w:spacing w:before="100" w:beforeAutospacing="1" w:after="100" w:afterAutospacing="1" w:line="240" w:lineRule="auto"/>
              <w:ind w:left="-15" w:right="-284"/>
              <w:rPr>
                <w:rFonts w:ascii="Times New Roman" w:eastAsia="Times New Roman" w:hAnsi="Times New Roman" w:cs="Times New Roman"/>
                <w:sz w:val="16"/>
                <w:szCs w:val="16"/>
                <w:lang w:eastAsia="ru-RU"/>
              </w:rPr>
            </w:pPr>
          </w:p>
          <w:p w:rsidR="00D81E15" w:rsidRPr="00C9672B" w:rsidRDefault="00D81E15" w:rsidP="00C9672B">
            <w:pPr>
              <w:spacing w:before="100" w:beforeAutospacing="1" w:after="100" w:afterAutospacing="1" w:line="240" w:lineRule="auto"/>
              <w:ind w:left="-15" w:right="-284"/>
              <w:rPr>
                <w:rFonts w:ascii="Times New Roman" w:eastAsia="Times New Roman" w:hAnsi="Times New Roman" w:cs="Times New Roman"/>
                <w:sz w:val="23"/>
                <w:szCs w:val="23"/>
                <w:lang w:eastAsia="ru-RU"/>
              </w:rPr>
            </w:pPr>
            <w:r w:rsidRPr="00C9672B">
              <w:rPr>
                <w:rFonts w:ascii="Times New Roman" w:eastAsia="Times New Roman" w:hAnsi="Times New Roman" w:cs="Times New Roman"/>
                <w:sz w:val="23"/>
                <w:szCs w:val="23"/>
                <w:lang w:eastAsia="ru-RU"/>
              </w:rPr>
              <w:t>Заместитель директора Департамента</w:t>
            </w:r>
            <w:r w:rsidRPr="00C9672B">
              <w:rPr>
                <w:rFonts w:ascii="Times New Roman" w:eastAsia="Times New Roman" w:hAnsi="Times New Roman" w:cs="Times New Roman"/>
                <w:sz w:val="23"/>
                <w:szCs w:val="23"/>
                <w:lang w:eastAsia="ru-RU"/>
              </w:rPr>
              <w:br/>
              <w:t>оплаты труда, трудовых отношений</w:t>
            </w:r>
            <w:r w:rsidRPr="00C9672B">
              <w:rPr>
                <w:rFonts w:ascii="Times New Roman" w:eastAsia="Times New Roman" w:hAnsi="Times New Roman" w:cs="Times New Roman"/>
                <w:sz w:val="23"/>
                <w:szCs w:val="23"/>
                <w:lang w:eastAsia="ru-RU"/>
              </w:rPr>
              <w:br/>
              <w:t>и социального партнерства</w:t>
            </w:r>
          </w:p>
        </w:tc>
        <w:tc>
          <w:tcPr>
            <w:tcW w:w="2018" w:type="pct"/>
            <w:shd w:val="clear" w:color="auto" w:fill="FFFFFF"/>
            <w:vAlign w:val="bottom"/>
            <w:hideMark/>
          </w:tcPr>
          <w:p w:rsidR="00D81E15" w:rsidRPr="00C9672B" w:rsidRDefault="00C9672B" w:rsidP="00C9672B">
            <w:pPr>
              <w:spacing w:before="100" w:beforeAutospacing="1" w:after="100" w:afterAutospacing="1" w:line="240" w:lineRule="auto"/>
              <w:ind w:left="-851" w:right="-14"/>
              <w:jc w:val="center"/>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 xml:space="preserve">                                                              </w:t>
            </w:r>
            <w:r w:rsidR="00D81E15" w:rsidRPr="00C9672B">
              <w:rPr>
                <w:rFonts w:ascii="Times New Roman" w:eastAsia="Times New Roman" w:hAnsi="Times New Roman" w:cs="Times New Roman"/>
                <w:sz w:val="23"/>
                <w:szCs w:val="23"/>
                <w:lang w:eastAsia="ru-RU"/>
              </w:rPr>
              <w:t>Т.В. Маленко</w:t>
            </w:r>
          </w:p>
        </w:tc>
      </w:tr>
    </w:tbl>
    <w:p w:rsidR="00F03585" w:rsidRPr="00C9672B" w:rsidRDefault="00F03585" w:rsidP="00C9672B">
      <w:pPr>
        <w:ind w:left="-851" w:right="-284"/>
        <w:rPr>
          <w:rFonts w:ascii="Times New Roman" w:hAnsi="Times New Roman" w:cs="Times New Roman"/>
        </w:rPr>
      </w:pPr>
    </w:p>
    <w:sectPr w:rsidR="00F03585" w:rsidRPr="00C9672B" w:rsidSect="00C9672B">
      <w:pgSz w:w="11906" w:h="16838"/>
      <w:pgMar w:top="426"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3E6"/>
    <w:rsid w:val="000E03E6"/>
    <w:rsid w:val="00774204"/>
    <w:rsid w:val="00C9672B"/>
    <w:rsid w:val="00D81E15"/>
    <w:rsid w:val="00E8345A"/>
    <w:rsid w:val="00F035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E15"/>
    <w:rPr>
      <w:color w:val="0000FF" w:themeColor="hyperlink"/>
      <w:u w:val="single"/>
    </w:rPr>
  </w:style>
  <w:style w:type="paragraph" w:styleId="a4">
    <w:name w:val="Balloon Text"/>
    <w:basedOn w:val="a"/>
    <w:link w:val="a5"/>
    <w:uiPriority w:val="99"/>
    <w:semiHidden/>
    <w:unhideWhenUsed/>
    <w:rsid w:val="00D81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E15"/>
    <w:rPr>
      <w:rFonts w:ascii="Tahoma" w:hAnsi="Tahoma" w:cs="Tahoma"/>
      <w:sz w:val="16"/>
      <w:szCs w:val="16"/>
    </w:rPr>
  </w:style>
  <w:style w:type="paragraph" w:customStyle="1" w:styleId="s3">
    <w:name w:val="s_3"/>
    <w:basedOn w:val="a"/>
    <w:rsid w:val="00D81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E15"/>
    <w:rPr>
      <w:color w:val="0000FF" w:themeColor="hyperlink"/>
      <w:u w:val="single"/>
    </w:rPr>
  </w:style>
  <w:style w:type="paragraph" w:styleId="a4">
    <w:name w:val="Balloon Text"/>
    <w:basedOn w:val="a"/>
    <w:link w:val="a5"/>
    <w:uiPriority w:val="99"/>
    <w:semiHidden/>
    <w:unhideWhenUsed/>
    <w:rsid w:val="00D81E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1E15"/>
    <w:rPr>
      <w:rFonts w:ascii="Tahoma" w:hAnsi="Tahoma" w:cs="Tahoma"/>
      <w:sz w:val="16"/>
      <w:szCs w:val="16"/>
    </w:rPr>
  </w:style>
  <w:style w:type="paragraph" w:customStyle="1" w:styleId="s3">
    <w:name w:val="s_3"/>
    <w:basedOn w:val="a"/>
    <w:rsid w:val="00D81E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210049">
      <w:bodyDiv w:val="1"/>
      <w:marLeft w:val="0"/>
      <w:marRight w:val="0"/>
      <w:marTop w:val="0"/>
      <w:marBottom w:val="0"/>
      <w:divBdr>
        <w:top w:val="none" w:sz="0" w:space="0" w:color="auto"/>
        <w:left w:val="none" w:sz="0" w:space="0" w:color="auto"/>
        <w:bottom w:val="none" w:sz="0" w:space="0" w:color="auto"/>
        <w:right w:val="none" w:sz="0" w:space="0" w:color="auto"/>
      </w:divBdr>
    </w:div>
    <w:div w:id="2065909855">
      <w:bodyDiv w:val="1"/>
      <w:marLeft w:val="0"/>
      <w:marRight w:val="0"/>
      <w:marTop w:val="0"/>
      <w:marBottom w:val="0"/>
      <w:divBdr>
        <w:top w:val="none" w:sz="0" w:space="0" w:color="auto"/>
        <w:left w:val="none" w:sz="0" w:space="0" w:color="auto"/>
        <w:bottom w:val="none" w:sz="0" w:space="0" w:color="auto"/>
        <w:right w:val="none" w:sz="0" w:space="0" w:color="auto"/>
      </w:divBdr>
      <w:divsChild>
        <w:div w:id="1536582466">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0" Type="http://schemas.openxmlformats.org/officeDocument/2006/relationships/hyperlink" Target="http://ivo.garant.ru/"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599</Words>
  <Characters>3415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2019-10-29T14:52:00Z</dcterms:created>
  <dcterms:modified xsi:type="dcterms:W3CDTF">2019-11-05T11:45:00Z</dcterms:modified>
</cp:coreProperties>
</file>