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before="0" w:after="0"/>
        <w:shd w:val="clear" w:color="auto" w:fill="f8f8f8"/>
        <w:rPr>
          <w:rFonts w:ascii="Tahoma" w:hAnsi="Tahoma"/>
          <w:color w:val="1B669D"/>
          <w:sz w:val="28"/>
          <w:szCs w:val="28"/>
        </w:rPr>
      </w:pPr>
      <w:r>
        <w:rPr>
          <w:rFonts w:ascii="Tahoma" w:hAnsi="Tahoma"/>
          <w:color w:val="1B669D"/>
          <w:sz w:val="28"/>
          <w:szCs w:val="28"/>
        </w:rPr>
        <w:t xml:space="preserve">О Всемирном дне борьбы с вирусными гепатитами</w:t>
      </w:r>
      <w:r/>
    </w:p>
    <w:p>
      <w:pPr>
        <w:pStyle w:val="597"/>
      </w:pPr>
      <w:r/>
      <w:r/>
    </w:p>
    <w:tbl>
      <w:tblPr>
        <w:tblW w:w="0" w:type="auto"/>
        <w:tblCellSpacing w:w="0" w:type="dxa"/>
        <w:tblInd w:w="0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>
          <w:tblCellSpacing w:w="0" w:type="dxa"/>
        </w:trPr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5" w:type="dxa"/>
            <w:vAlign w:val="center"/>
            <w:textDirection w:val="lrTb"/>
            <w:noWrap w:val="false"/>
          </w:tcPr>
          <w:p>
            <w:pPr>
              <w:pStyle w:val="606"/>
              <w:jc w:val="both"/>
              <w:spacing w:before="0" w:beforeAutospacing="0" w:after="15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Впервые день борьбы с гепатитами был проведен в 2008 году по инициативе Междуна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родного альянса по борьбе с гепатитами. В 2011 году Всемирная организация здравоохранения (ВОЗ) внесла эту дату в свой календарь, таким образом, Всемирный день борьбы с гепатитом (WorldHepatitisDay) получил официальный статус и отмечается ежегодно 28 июля.</w:t>
            </w:r>
            <w:r/>
          </w:p>
          <w:p>
            <w:pPr>
              <w:pStyle w:val="606"/>
              <w:jc w:val="both"/>
              <w:spacing w:before="0" w:beforeAutospacing="0" w:after="0" w:afterAutospacing="0"/>
              <w:shd w:val="clear" w:color="auto" w:fill="f8f8f8"/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Вирусные гепатиты и в XXI веке продолжают оставаться глобальной проблемой человечества. По данным 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Всемирной организации здравоохранения более миллиарда человек на нашей планете инфицировано вирусами гепатита. Вирусные гепатиты представляют большую, разнородную по этиологии, но схожую по клиническим проявлениям группу заболеваний. Исходом перенесенного 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острого заболевания часто являются хронический гепатит, цирроз печени и рак печени. Источником заражения являются: человек, больной острым, хроническим гепатитом или носитель вируса, у которого клинические проявления заболевания отсутствуют.</w:t>
              <w:br/>
              <w:br/>
              <w:t xml:space="preserve">Существует пя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ть основных типов вируса гепатита – A, B, C, D и E. Гепатиты А и Е передаются фекально-оральным путем, через грязные руки, а также с водой и пищей, содержащей вирус. Гепатиты В, С и D - через кровь и другие биологические жидкости. Чаще заражение происходит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 при незащищённых половых контактах, при внутривенном введении наркотиков, через предметы личной гигиены, на которых могли остаться частички крови больного (ножницы, бритвы, зубные щётки) и от инфицированной матери к её ребёнку (чаще во время родов).      </w:t>
            </w:r>
            <w:r/>
          </w:p>
          <w:p>
            <w:pPr>
              <w:pStyle w:val="606"/>
              <w:jc w:val="both"/>
              <w:spacing w:before="0" w:beforeAutospacing="0" w:after="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color w:val="242424"/>
                <w:sz w:val="21"/>
                <w:szCs w:val="21"/>
              </w:rPr>
              <w:t xml:space="preserve">Какие профилактические мероприятия вирусных гепатитов можно предложить населению, чтобы не заразиться?</w:t>
            </w:r>
            <w:r>
              <w:rPr>
                <w:rFonts w:ascii="Arial" w:hAnsi="Arial"/>
                <w:color w:val="242424"/>
                <w:sz w:val="21"/>
                <w:szCs w:val="21"/>
              </w:rPr>
            </w:r>
            <w:r/>
          </w:p>
          <w:p>
            <w:pPr>
              <w:pStyle w:val="606"/>
              <w:jc w:val="both"/>
              <w:spacing w:before="0" w:beforeAutospacing="0" w:after="15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В первую очередь это иммунизация против вирусного гепатита В. Дети прививаются в соответствии с национальным календарём профилактических прививок с первых дней рождения (курс вакцинации начинается в первые часы после рождения ребёнка).</w:t>
            </w:r>
            <w:r/>
          </w:p>
          <w:p>
            <w:pPr>
              <w:pStyle w:val="606"/>
              <w:jc w:val="both"/>
              <w:spacing w:before="0" w:beforeAutospacing="0" w:after="15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В рамках реализации программы массовой иммунизации населения Российской Федерации против гепатита В были достигнуты значительные успехи в борьбе с данной инфекцией. Прививки против этой инфекции проводятся бесплатно детям и взрослым      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               в возрасте до 55 лет не привитым ранее против этой инфекции. С 2000 года в России против гепатита В было привито более 100 млн. детей, подростков и взрослых. В 2021 году вакцинировано – более 2,2 млн. человек,   в том числе - 1,4 млн. детей.</w:t>
            </w:r>
            <w:r/>
          </w:p>
          <w:p>
            <w:pPr>
              <w:pStyle w:val="606"/>
              <w:jc w:val="both"/>
              <w:spacing w:before="0" w:beforeAutospacing="0" w:after="15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Благодаря комплексу профилактических и противоэпидемических мероприятий заболева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емость острыми вирусными гепатитами В и С в России продолжает снижаться. В 2021 году показатели заболеваемости острыми гепатитами В и С в стране достигли самых низких за все годы наблюдения уровней – 0,31 и 0,59 случая на 100 тыс. населения соответственно.</w:t>
            </w:r>
            <w:r/>
          </w:p>
          <w:p>
            <w:pPr>
              <w:pStyle w:val="606"/>
              <w:jc w:val="both"/>
              <w:spacing w:before="0" w:beforeAutospacing="0" w:after="15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В последние годы отмечается постепе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нное снижение показателей заболеваемости хроническими вирусными гепатитами. С 2009 г. заболеваемость ХГС снизилась на 40,2% и составила – 16,44 на 100 тыс. населения (2021 г.), заболеваемость ХГВ снизилась на 31,0% и составила - 4,47 на 100 тыс. населения.</w:t>
            </w:r>
            <w:r/>
          </w:p>
          <w:p>
            <w:pPr>
              <w:pStyle w:val="606"/>
              <w:jc w:val="both"/>
              <w:spacing w:before="0" w:beforeAutospacing="0" w:after="15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Многолетняя динамика заболеваемости гепатитом А (ГА) характеризуется тенденцией к снижению, в 2021 г. показатель составил 1,45 на 100 тыс. населения (в 2020 г. – 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1,89). Показатель заболеваемости детей до 17 лет составил 3,18 на 100 тыс. населения, превысив общий показатель заболеваемости в 2,2 раза; наибольший показатель заболеваемости по-прежнему отмечается в возрастной группе 3–6 лет (3,44 на 100 тыс. населения).</w:t>
            </w:r>
            <w:r/>
          </w:p>
          <w:p>
            <w:pPr>
              <w:pStyle w:val="606"/>
              <w:jc w:val="both"/>
              <w:spacing w:before="0" w:beforeAutospacing="0" w:after="15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Эффективной мерой профилактики ГА является иммунизация населения на неблагополучных территориях, а также контактных лиц в очагах. В 2021 году в целом по стране привито 436 993 человека, в т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ом числе 181 016 детей в возрасте до 17 лет. Немаловажное значение в профилактике ГА имеют и санитарно-гигиенические мероприятия, направленные на обеспечение населения доброкачественной водой, безопасными в эпидемиологическом отношении пищевыми продуктами.</w:t>
            </w:r>
            <w:r/>
          </w:p>
          <w:p>
            <w:pPr>
              <w:pStyle w:val="606"/>
              <w:jc w:val="both"/>
              <w:spacing w:before="0" w:beforeAutospacing="0" w:after="0" w:afterAutospacing="0"/>
              <w:shd w:val="clear" w:color="auto" w:fill="f8f8f8"/>
              <w:rPr>
                <w:rFonts w:ascii="Arial" w:hAnsi="Arial"/>
                <w:color w:val="242424"/>
                <w:sz w:val="21"/>
                <w:szCs w:val="21"/>
              </w:rPr>
            </w:pPr>
            <w:r>
              <w:rPr>
                <w:rFonts w:ascii="Arial" w:hAnsi="Arial"/>
                <w:color w:val="242424"/>
                <w:sz w:val="21"/>
                <w:szCs w:val="21"/>
              </w:rPr>
              <w:br w:type="textWrapping" w:clear="all"/>
              <w:br w:type="textWrapping" w:clear="all"/>
              <w:t xml:space="preserve">Помните, что только своевременная качестве</w:t>
            </w:r>
            <w:r>
              <w:rPr>
                <w:rFonts w:ascii="Arial" w:hAnsi="Arial"/>
                <w:color w:val="242424"/>
                <w:sz w:val="21"/>
                <w:szCs w:val="21"/>
              </w:rPr>
              <w:t xml:space="preserve">нная диагностика поможет предотвратить развитие заболевания и серьезных последствий. Пройти тестирование – это значит сохранить не только свое здоровье, но и здоровье и жизнь миллионов других людей.</w:t>
              <w:br/>
              <w:br/>
              <w:t xml:space="preserve">Не давайте гепатиту шанс, защитите себя и своих близких!</w:t>
            </w:r>
            <w:r/>
          </w:p>
          <w:p>
            <w:pPr>
              <w:pStyle w:val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598">
    <w:name w:val="Заголовок 1"/>
    <w:basedOn w:val="597"/>
    <w:next w:val="597"/>
    <w:link w:val="608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599">
    <w:name w:val="Заголовок 2"/>
    <w:basedOn w:val="597"/>
    <w:next w:val="599"/>
    <w:link w:val="6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styleId="600">
    <w:name w:val="Основной шрифт абзаца"/>
    <w:next w:val="600"/>
    <w:link w:val="597"/>
    <w:semiHidden/>
  </w:style>
  <w:style w:type="table" w:styleId="601">
    <w:name w:val="Обычная таблица"/>
    <w:next w:val="601"/>
    <w:link w:val="597"/>
    <w:semiHidden/>
    <w:tblPr/>
  </w:style>
  <w:style w:type="numbering" w:styleId="602">
    <w:name w:val="Нет списка"/>
    <w:next w:val="602"/>
    <w:link w:val="597"/>
    <w:semiHidden/>
  </w:style>
  <w:style w:type="character" w:styleId="603">
    <w:name w:val="Заголовок 2 Знак"/>
    <w:basedOn w:val="600"/>
    <w:next w:val="603"/>
    <w:link w:val="599"/>
    <w:rPr>
      <w:rFonts w:ascii="Times New Roman" w:hAnsi="Times New Roman"/>
      <w:b/>
      <w:bCs/>
      <w:sz w:val="36"/>
      <w:szCs w:val="36"/>
    </w:rPr>
  </w:style>
  <w:style w:type="paragraph" w:styleId="604">
    <w:name w:val="s16"/>
    <w:basedOn w:val="597"/>
    <w:next w:val="604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05">
    <w:name w:val="Абзац списка"/>
    <w:basedOn w:val="597"/>
    <w:next w:val="605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606">
    <w:name w:val="Обычный (веб)"/>
    <w:basedOn w:val="597"/>
    <w:next w:val="606"/>
    <w:link w:val="597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607">
    <w:name w:val="Гиперссылка"/>
    <w:basedOn w:val="600"/>
    <w:next w:val="607"/>
    <w:link w:val="597"/>
    <w:rPr>
      <w:color w:val="0000FF"/>
      <w:u w:val="single"/>
    </w:rPr>
  </w:style>
  <w:style w:type="character" w:styleId="608">
    <w:name w:val="Заголовок 1 Знак"/>
    <w:basedOn w:val="600"/>
    <w:next w:val="608"/>
    <w:link w:val="598"/>
    <w:rPr>
      <w:rFonts w:ascii="Cambria" w:hAnsi="Cambria" w:eastAsia="Times New Roman"/>
      <w:b/>
      <w:bCs/>
      <w:sz w:val="32"/>
      <w:szCs w:val="32"/>
    </w:rPr>
  </w:style>
  <w:style w:type="character" w:styleId="975" w:default="1">
    <w:name w:val="Default Paragraph Font"/>
    <w:uiPriority w:val="1"/>
    <w:semiHidden/>
    <w:unhideWhenUsed/>
  </w:style>
  <w:style w:type="numbering" w:styleId="976" w:default="1">
    <w:name w:val="No List"/>
    <w:uiPriority w:val="99"/>
    <w:semiHidden/>
    <w:unhideWhenUsed/>
  </w:style>
  <w:style w:type="table" w:styleId="9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2022-07-29T12:12:11Z</dcterms:modified>
</cp:coreProperties>
</file>