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7C52B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C52B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E3EA5">
        <w:rPr>
          <w:sz w:val="28"/>
          <w:szCs w:val="28"/>
        </w:rPr>
        <w:t>1</w:t>
      </w:r>
      <w:r w:rsidR="00BF73BA">
        <w:rPr>
          <w:sz w:val="28"/>
          <w:szCs w:val="28"/>
        </w:rPr>
        <w:t>5</w:t>
      </w:r>
      <w:r w:rsidRPr="00936631">
        <w:rPr>
          <w:sz w:val="28"/>
          <w:szCs w:val="28"/>
        </w:rPr>
        <w:t xml:space="preserve">» </w:t>
      </w:r>
      <w:r w:rsidR="00DC0A56">
        <w:rPr>
          <w:sz w:val="28"/>
          <w:szCs w:val="28"/>
        </w:rPr>
        <w:t>марта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DC0A5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 xml:space="preserve">135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DC0A56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DC0A56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6E3EA5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DC0A56">
        <w:rPr>
          <w:sz w:val="28"/>
          <w:szCs w:val="28"/>
        </w:rPr>
        <w:t>5</w:t>
      </w:r>
      <w:r w:rsidR="00E5675F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E5675F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>135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</w:t>
      </w:r>
      <w:r w:rsidR="00DC0A56">
        <w:rPr>
          <w:sz w:val="28"/>
          <w:szCs w:val="28"/>
        </w:rPr>
        <w:t>1</w:t>
      </w:r>
      <w:r w:rsidR="00AA3DC0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>202</w:t>
      </w:r>
      <w:r w:rsidR="00DC0A56">
        <w:rPr>
          <w:sz w:val="28"/>
          <w:szCs w:val="28"/>
        </w:rPr>
        <w:t>3</w:t>
      </w:r>
      <w:r w:rsidR="00AA3DC0" w:rsidRPr="00E10C5B">
        <w:rPr>
          <w:sz w:val="28"/>
          <w:szCs w:val="28"/>
        </w:rPr>
        <w:t xml:space="preserve">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6E3EA5">
        <w:rPr>
          <w:sz w:val="28"/>
          <w:szCs w:val="28"/>
        </w:rPr>
        <w:t>1</w:t>
      </w:r>
      <w:r w:rsidR="002006E1">
        <w:rPr>
          <w:sz w:val="28"/>
          <w:szCs w:val="28"/>
        </w:rPr>
        <w:t>1</w:t>
      </w:r>
      <w:r w:rsidR="00E5675F">
        <w:rPr>
          <w:sz w:val="28"/>
          <w:szCs w:val="28"/>
        </w:rPr>
        <w:t>.</w:t>
      </w:r>
      <w:r w:rsidR="00DC0A56">
        <w:rPr>
          <w:sz w:val="28"/>
          <w:szCs w:val="28"/>
        </w:rPr>
        <w:t>03</w:t>
      </w:r>
      <w:r w:rsidR="002B4B61" w:rsidRPr="00E10C5B">
        <w:rPr>
          <w:sz w:val="28"/>
          <w:szCs w:val="28"/>
        </w:rPr>
        <w:t>.202</w:t>
      </w:r>
      <w:r w:rsidR="00DC0A56">
        <w:rPr>
          <w:sz w:val="28"/>
          <w:szCs w:val="28"/>
        </w:rPr>
        <w:t>1</w:t>
      </w:r>
      <w:r w:rsidR="002B4B61" w:rsidRPr="00E10C5B">
        <w:rPr>
          <w:sz w:val="28"/>
          <w:szCs w:val="28"/>
        </w:rPr>
        <w:t>.</w:t>
      </w:r>
      <w:r w:rsidR="0001014D" w:rsidRPr="00E10C5B">
        <w:rPr>
          <w:sz w:val="28"/>
          <w:szCs w:val="28"/>
        </w:rPr>
        <w:t xml:space="preserve"> Экспертиза </w:t>
      </w:r>
      <w:r w:rsidR="0001014D" w:rsidRPr="006E3EA5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proofErr w:type="spellStart"/>
      <w:r w:rsidR="00E5675F" w:rsidRPr="006E3EA5">
        <w:rPr>
          <w:sz w:val="28"/>
          <w:szCs w:val="28"/>
        </w:rPr>
        <w:t>Нелазском</w:t>
      </w:r>
      <w:proofErr w:type="spellEnd"/>
      <w:r w:rsidR="002B4B61" w:rsidRPr="006E3EA5">
        <w:rPr>
          <w:sz w:val="28"/>
          <w:szCs w:val="28"/>
        </w:rPr>
        <w:t xml:space="preserve"> сельском поселении</w:t>
      </w:r>
      <w:r w:rsidR="0001014D" w:rsidRPr="006E3EA5">
        <w:rPr>
          <w:sz w:val="28"/>
          <w:szCs w:val="28"/>
        </w:rPr>
        <w:t xml:space="preserve">, утвержденным  решением </w:t>
      </w:r>
      <w:r w:rsidR="002B4B61" w:rsidRPr="006E3EA5">
        <w:rPr>
          <w:sz w:val="28"/>
          <w:szCs w:val="28"/>
        </w:rPr>
        <w:t xml:space="preserve">Совета </w:t>
      </w:r>
      <w:proofErr w:type="spellStart"/>
      <w:r w:rsidR="00E5675F" w:rsidRPr="006E3EA5">
        <w:rPr>
          <w:sz w:val="28"/>
        </w:rPr>
        <w:t>Нелазского</w:t>
      </w:r>
      <w:proofErr w:type="spellEnd"/>
      <w:r w:rsidR="002B4B61" w:rsidRPr="006E3EA5">
        <w:rPr>
          <w:sz w:val="28"/>
          <w:szCs w:val="28"/>
        </w:rPr>
        <w:t xml:space="preserve"> сельского поселения   </w:t>
      </w:r>
      <w:r w:rsidR="0001014D" w:rsidRPr="006E3EA5">
        <w:rPr>
          <w:sz w:val="28"/>
          <w:szCs w:val="28"/>
        </w:rPr>
        <w:t xml:space="preserve">от </w:t>
      </w:r>
      <w:r w:rsidR="001D6FCF" w:rsidRPr="006E3EA5">
        <w:rPr>
          <w:sz w:val="28"/>
          <w:szCs w:val="28"/>
        </w:rPr>
        <w:t>30</w:t>
      </w:r>
      <w:r w:rsidR="0001014D" w:rsidRPr="006E3EA5">
        <w:rPr>
          <w:sz w:val="28"/>
          <w:szCs w:val="28"/>
        </w:rPr>
        <w:t>.0</w:t>
      </w:r>
      <w:r w:rsidR="001D6FCF" w:rsidRPr="006E3EA5">
        <w:rPr>
          <w:sz w:val="28"/>
          <w:szCs w:val="28"/>
        </w:rPr>
        <w:t>6</w:t>
      </w:r>
      <w:r w:rsidR="0001014D" w:rsidRPr="006E3EA5">
        <w:rPr>
          <w:sz w:val="28"/>
          <w:szCs w:val="28"/>
        </w:rPr>
        <w:t>.20</w:t>
      </w:r>
      <w:r w:rsidR="002B4B61" w:rsidRPr="006E3EA5">
        <w:rPr>
          <w:sz w:val="28"/>
          <w:szCs w:val="28"/>
        </w:rPr>
        <w:t>20</w:t>
      </w:r>
      <w:r w:rsidR="0001014D" w:rsidRPr="006E3EA5">
        <w:rPr>
          <w:sz w:val="28"/>
          <w:szCs w:val="28"/>
        </w:rPr>
        <w:t xml:space="preserve"> № </w:t>
      </w:r>
      <w:r w:rsidR="002B4B61" w:rsidRPr="006E3EA5">
        <w:rPr>
          <w:sz w:val="28"/>
          <w:szCs w:val="28"/>
        </w:rPr>
        <w:t>1</w:t>
      </w:r>
      <w:r w:rsidR="001D6FCF" w:rsidRPr="006E3EA5">
        <w:rPr>
          <w:sz w:val="28"/>
          <w:szCs w:val="28"/>
        </w:rPr>
        <w:t>21</w:t>
      </w:r>
      <w:r w:rsidR="0001014D" w:rsidRPr="006E3EA5">
        <w:rPr>
          <w:sz w:val="28"/>
          <w:szCs w:val="28"/>
        </w:rPr>
        <w:t>.</w:t>
      </w:r>
    </w:p>
    <w:p w:rsidR="00051BAA" w:rsidRPr="006E3EA5" w:rsidRDefault="00051BAA" w:rsidP="00051BAA">
      <w:pPr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      </w:t>
      </w:r>
      <w:r w:rsidR="00915BB7" w:rsidRPr="006E3EA5">
        <w:rPr>
          <w:sz w:val="28"/>
          <w:szCs w:val="28"/>
        </w:rPr>
        <w:t xml:space="preserve">  </w:t>
      </w:r>
      <w:r w:rsidRPr="006E3EA5">
        <w:rPr>
          <w:sz w:val="28"/>
          <w:szCs w:val="28"/>
        </w:rPr>
        <w:t xml:space="preserve"> </w:t>
      </w:r>
      <w:proofErr w:type="gramStart"/>
      <w:r w:rsidRPr="006E3EA5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DC0A56">
        <w:rPr>
          <w:sz w:val="28"/>
          <w:szCs w:val="28"/>
        </w:rPr>
        <w:t>1</w:t>
      </w:r>
      <w:r w:rsidRPr="006E3EA5">
        <w:rPr>
          <w:sz w:val="28"/>
          <w:szCs w:val="28"/>
        </w:rPr>
        <w:t xml:space="preserve"> году составят:   доходы  бюджета  </w:t>
      </w:r>
      <w:r w:rsidR="00DC0A56">
        <w:rPr>
          <w:sz w:val="28"/>
          <w:szCs w:val="28"/>
        </w:rPr>
        <w:t>35 321,1</w:t>
      </w:r>
      <w:r w:rsidR="006E3EA5" w:rsidRPr="006E3EA5">
        <w:rPr>
          <w:sz w:val="28"/>
          <w:szCs w:val="28"/>
        </w:rPr>
        <w:t xml:space="preserve"> ты</w:t>
      </w:r>
      <w:r w:rsidRPr="006E3EA5">
        <w:rPr>
          <w:sz w:val="28"/>
          <w:szCs w:val="28"/>
        </w:rPr>
        <w:t>с. рублей</w:t>
      </w:r>
      <w:r w:rsidR="00915BB7" w:rsidRPr="006E3EA5">
        <w:rPr>
          <w:sz w:val="28"/>
          <w:szCs w:val="28"/>
        </w:rPr>
        <w:t xml:space="preserve">, </w:t>
      </w:r>
      <w:r w:rsidRPr="006E3EA5">
        <w:rPr>
          <w:sz w:val="28"/>
          <w:szCs w:val="28"/>
        </w:rPr>
        <w:t xml:space="preserve">расходы </w:t>
      </w:r>
      <w:r w:rsidR="00915BB7" w:rsidRPr="006E3EA5">
        <w:rPr>
          <w:sz w:val="28"/>
          <w:szCs w:val="28"/>
        </w:rPr>
        <w:t>3</w:t>
      </w:r>
      <w:r w:rsidR="00DC0A56">
        <w:rPr>
          <w:sz w:val="28"/>
          <w:szCs w:val="28"/>
        </w:rPr>
        <w:t>5 371,1</w:t>
      </w:r>
      <w:r w:rsidR="006E3EA5" w:rsidRPr="006E3EA5">
        <w:rPr>
          <w:sz w:val="28"/>
          <w:szCs w:val="28"/>
        </w:rPr>
        <w:t xml:space="preserve"> тыс</w:t>
      </w:r>
      <w:r w:rsidRPr="006E3EA5">
        <w:rPr>
          <w:sz w:val="28"/>
          <w:szCs w:val="28"/>
        </w:rPr>
        <w:t>.</w:t>
      </w:r>
      <w:r w:rsidR="00037C14" w:rsidRPr="006E3EA5">
        <w:rPr>
          <w:sz w:val="28"/>
          <w:szCs w:val="28"/>
        </w:rPr>
        <w:t xml:space="preserve"> </w:t>
      </w:r>
      <w:r w:rsidRPr="006E3EA5">
        <w:rPr>
          <w:sz w:val="28"/>
          <w:szCs w:val="28"/>
        </w:rPr>
        <w:t xml:space="preserve">рублей </w:t>
      </w:r>
      <w:r w:rsidR="006E3EA5" w:rsidRPr="006E3EA5">
        <w:rPr>
          <w:sz w:val="28"/>
          <w:szCs w:val="28"/>
        </w:rPr>
        <w:t>(</w:t>
      </w:r>
      <w:r w:rsidR="00DC0A56">
        <w:rPr>
          <w:sz w:val="28"/>
          <w:szCs w:val="28"/>
        </w:rPr>
        <w:t>увеличение</w:t>
      </w:r>
      <w:r w:rsidR="006E3EA5" w:rsidRPr="006E3EA5">
        <w:rPr>
          <w:sz w:val="28"/>
          <w:szCs w:val="28"/>
        </w:rPr>
        <w:t xml:space="preserve"> на </w:t>
      </w:r>
      <w:r w:rsidR="00DC0A56">
        <w:rPr>
          <w:sz w:val="28"/>
          <w:szCs w:val="28"/>
        </w:rPr>
        <w:t>50,0</w:t>
      </w:r>
      <w:r w:rsidR="006E3EA5" w:rsidRPr="006E3EA5">
        <w:rPr>
          <w:sz w:val="28"/>
          <w:szCs w:val="28"/>
        </w:rPr>
        <w:t xml:space="preserve"> тыс. руб.)</w:t>
      </w:r>
      <w:r w:rsidRPr="006E3EA5">
        <w:rPr>
          <w:sz w:val="28"/>
          <w:szCs w:val="28"/>
        </w:rPr>
        <w:t xml:space="preserve">,  дефицит бюджета </w:t>
      </w:r>
      <w:r w:rsidR="00DC0A56">
        <w:rPr>
          <w:sz w:val="28"/>
          <w:szCs w:val="28"/>
        </w:rPr>
        <w:t>5</w:t>
      </w:r>
      <w:r w:rsidR="00915BB7" w:rsidRPr="006E3EA5">
        <w:rPr>
          <w:sz w:val="28"/>
          <w:szCs w:val="28"/>
        </w:rPr>
        <w:t>0,0</w:t>
      </w:r>
      <w:r w:rsidRPr="006E3EA5">
        <w:rPr>
          <w:sz w:val="28"/>
          <w:szCs w:val="28"/>
        </w:rPr>
        <w:t xml:space="preserve"> тыс. рублей</w:t>
      </w:r>
      <w:r w:rsidR="00DC0A56">
        <w:rPr>
          <w:sz w:val="28"/>
          <w:szCs w:val="28"/>
        </w:rPr>
        <w:t xml:space="preserve"> (</w:t>
      </w:r>
      <w:r w:rsidR="00DC0A56" w:rsidRPr="007C1C30">
        <w:rPr>
          <w:sz w:val="28"/>
          <w:szCs w:val="28"/>
        </w:rPr>
        <w:t xml:space="preserve">увеличение на </w:t>
      </w:r>
      <w:r w:rsidR="00DC0A56">
        <w:rPr>
          <w:sz w:val="28"/>
          <w:szCs w:val="28"/>
        </w:rPr>
        <w:t>50,0</w:t>
      </w:r>
      <w:r w:rsidR="00DC0A56" w:rsidRPr="007C1C30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051BAA" w:rsidRPr="006E3EA5" w:rsidRDefault="00051BAA" w:rsidP="00051BAA">
      <w:pPr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Проектом  предлагается  внести изменения в </w:t>
      </w:r>
      <w:r w:rsidR="00DC0A56">
        <w:rPr>
          <w:sz w:val="28"/>
          <w:szCs w:val="28"/>
        </w:rPr>
        <w:t>4</w:t>
      </w:r>
      <w:r w:rsidRPr="006E3EA5">
        <w:rPr>
          <w:sz w:val="28"/>
          <w:szCs w:val="28"/>
        </w:rPr>
        <w:t xml:space="preserve"> приложени</w:t>
      </w:r>
      <w:r w:rsidR="00DC0A56">
        <w:rPr>
          <w:sz w:val="28"/>
          <w:szCs w:val="28"/>
        </w:rPr>
        <w:t>я</w:t>
      </w:r>
      <w:r w:rsidRPr="006E3EA5">
        <w:rPr>
          <w:sz w:val="28"/>
          <w:szCs w:val="28"/>
        </w:rPr>
        <w:t>, изложив их в новой редакции.</w:t>
      </w:r>
    </w:p>
    <w:p w:rsidR="00CB0C0D" w:rsidRPr="006E3EA5" w:rsidRDefault="00051BAA" w:rsidP="00DC0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 </w:t>
      </w:r>
      <w:r w:rsidR="00CB0C0D" w:rsidRPr="006E3EA5">
        <w:rPr>
          <w:sz w:val="28"/>
          <w:szCs w:val="28"/>
        </w:rPr>
        <w:t>Изменения в распределении бюджетных ассигнований в 20</w:t>
      </w:r>
      <w:r w:rsidR="000E3B9E" w:rsidRPr="006E3EA5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="00CB0C0D" w:rsidRPr="006E3EA5">
        <w:rPr>
          <w:sz w:val="28"/>
          <w:szCs w:val="28"/>
        </w:rPr>
        <w:t xml:space="preserve"> году по разделам изложены в таблице</w:t>
      </w:r>
      <w:r w:rsidR="00F75398" w:rsidRPr="006E3EA5">
        <w:rPr>
          <w:sz w:val="28"/>
          <w:szCs w:val="28"/>
        </w:rPr>
        <w:t xml:space="preserve"> №</w:t>
      </w:r>
      <w:r w:rsidR="00DC0A56">
        <w:rPr>
          <w:sz w:val="28"/>
          <w:szCs w:val="28"/>
        </w:rPr>
        <w:t>1</w:t>
      </w:r>
      <w:r w:rsidR="00CB0C0D" w:rsidRPr="006E3EA5">
        <w:rPr>
          <w:sz w:val="28"/>
          <w:szCs w:val="28"/>
        </w:rPr>
        <w:t xml:space="preserve">. </w:t>
      </w:r>
    </w:p>
    <w:p w:rsidR="00CB0C0D" w:rsidRPr="006E3EA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EA5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C0A56">
        <w:rPr>
          <w:sz w:val="28"/>
          <w:szCs w:val="28"/>
        </w:rPr>
        <w:t>1</w:t>
      </w:r>
      <w:r w:rsidRPr="006E3EA5">
        <w:rPr>
          <w:sz w:val="28"/>
          <w:szCs w:val="28"/>
        </w:rPr>
        <w:t xml:space="preserve"> </w:t>
      </w:r>
      <w:r w:rsidR="00F94FB1" w:rsidRPr="006E3EA5">
        <w:rPr>
          <w:sz w:val="28"/>
          <w:szCs w:val="28"/>
        </w:rPr>
        <w:t>(тыс. руб.)</w:t>
      </w:r>
      <w:r w:rsidRPr="006E3EA5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5"/>
        <w:gridCol w:w="1526"/>
        <w:gridCol w:w="1619"/>
        <w:gridCol w:w="1096"/>
      </w:tblGrid>
      <w:tr w:rsidR="00F94FB1" w:rsidRPr="009A0623" w:rsidTr="00A67158">
        <w:trPr>
          <w:trHeight w:val="72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E3EA5" w:rsidRDefault="00F94FB1" w:rsidP="00CB0C0D">
            <w:pPr>
              <w:autoSpaceDE w:val="0"/>
              <w:autoSpaceDN w:val="0"/>
              <w:adjustRightInd w:val="0"/>
            </w:pPr>
            <w:r w:rsidRPr="006E3EA5">
              <w:lastRenderedPageBreak/>
              <w:t>Наименование разделов (подразделов)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DC0A56">
            <w:pPr>
              <w:autoSpaceDE w:val="0"/>
              <w:autoSpaceDN w:val="0"/>
              <w:adjustRightInd w:val="0"/>
              <w:jc w:val="center"/>
            </w:pPr>
            <w:r w:rsidRPr="009A0623">
              <w:t>Решение от 1</w:t>
            </w:r>
            <w:r w:rsidR="00DC0A56">
              <w:t>5</w:t>
            </w:r>
            <w:r w:rsidRPr="009A0623">
              <w:t>.12.20</w:t>
            </w:r>
            <w:r w:rsidR="00DC0A56">
              <w:t>20</w:t>
            </w:r>
            <w:r w:rsidRPr="009A0623">
              <w:t xml:space="preserve"> №</w:t>
            </w:r>
            <w:r w:rsidR="007F40B6" w:rsidRPr="009A0623">
              <w:t xml:space="preserve"> </w:t>
            </w:r>
            <w:r w:rsidR="00DC0A56">
              <w:t>135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20084B">
            <w:pPr>
              <w:autoSpaceDE w:val="0"/>
              <w:autoSpaceDN w:val="0"/>
              <w:adjustRightInd w:val="0"/>
              <w:jc w:val="both"/>
            </w:pPr>
            <w:r w:rsidRPr="009A0623">
              <w:t xml:space="preserve">Проект решения на </w:t>
            </w:r>
            <w:r w:rsidR="006E3EA5" w:rsidRPr="009A0623">
              <w:t>1</w:t>
            </w:r>
            <w:r w:rsidR="0020084B">
              <w:t>1</w:t>
            </w:r>
            <w:r w:rsidR="007F40B6" w:rsidRPr="009A0623">
              <w:t>.</w:t>
            </w:r>
            <w:r w:rsidR="00DC0A56">
              <w:t>03</w:t>
            </w:r>
            <w:r w:rsidRPr="009A0623">
              <w:t>.202</w:t>
            </w:r>
            <w:r w:rsidR="00DC0A56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A0623">
              <w:t xml:space="preserve">Изменения </w:t>
            </w:r>
          </w:p>
        </w:tc>
      </w:tr>
      <w:tr w:rsidR="006E3EA5" w:rsidRPr="00DC0A56" w:rsidTr="00A67158">
        <w:trPr>
          <w:trHeight w:val="40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6E3EA5" w:rsidP="00D21C59">
            <w:pPr>
              <w:jc w:val="right"/>
            </w:pPr>
            <w:r w:rsidRPr="00D21C59">
              <w:t>10</w:t>
            </w:r>
            <w:r w:rsidR="00D21C59" w:rsidRPr="00D21C59">
              <w:t> </w:t>
            </w:r>
            <w:r w:rsidR="00BC4E94" w:rsidRPr="00D21C59">
              <w:t>2</w:t>
            </w:r>
            <w:r w:rsidR="00D21C59" w:rsidRPr="00D21C59">
              <w:t>45,9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6E3EA5" w:rsidP="00BC4E94">
            <w:pPr>
              <w:jc w:val="right"/>
            </w:pPr>
            <w:r w:rsidRPr="00D21C59">
              <w:t>10</w:t>
            </w:r>
            <w:r w:rsidR="00BC4E94" w:rsidRPr="00D21C59">
              <w:t> 234,9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D21C59">
            <w:pPr>
              <w:jc w:val="right"/>
            </w:pPr>
            <w:r w:rsidRPr="00D21C59">
              <w:t>-11,0</w:t>
            </w:r>
          </w:p>
        </w:tc>
      </w:tr>
      <w:tr w:rsidR="006E3EA5" w:rsidRPr="00DC0A56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51690B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BC4E94" w:rsidP="00BC4E94">
            <w:pPr>
              <w:jc w:val="right"/>
            </w:pPr>
            <w:r w:rsidRPr="00D21C59">
              <w:t>104,5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BC4E94" w:rsidP="00BC4E94">
            <w:pPr>
              <w:jc w:val="right"/>
            </w:pPr>
            <w:r w:rsidRPr="00D21C59"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6E3EA5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21C59">
              <w:t>0,0</w:t>
            </w:r>
          </w:p>
        </w:tc>
      </w:tr>
      <w:tr w:rsidR="006E3EA5" w:rsidRPr="00DC0A56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D21C59">
            <w:pPr>
              <w:jc w:val="right"/>
            </w:pPr>
            <w:r w:rsidRPr="00D21C59">
              <w:t>362,2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BC4E94" w:rsidP="00BC4E94">
            <w:pPr>
              <w:jc w:val="right"/>
            </w:pPr>
            <w:r w:rsidRPr="00D21C59">
              <w:t>367,2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D21C59">
            <w:pPr>
              <w:tabs>
                <w:tab w:val="center" w:pos="671"/>
                <w:tab w:val="right" w:pos="1343"/>
              </w:tabs>
              <w:jc w:val="right"/>
            </w:pPr>
            <w:r w:rsidRPr="00D21C59">
              <w:t>+5,0</w:t>
            </w:r>
          </w:p>
        </w:tc>
      </w:tr>
      <w:tr w:rsidR="006E3EA5" w:rsidRPr="00DC0A56" w:rsidTr="00A67158">
        <w:trPr>
          <w:trHeight w:val="35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9A0623">
            <w:pPr>
              <w:jc w:val="right"/>
            </w:pPr>
            <w:r w:rsidRPr="00D21C59">
              <w:t>622,0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BC4E94" w:rsidP="00A179E0">
            <w:pPr>
              <w:jc w:val="right"/>
            </w:pPr>
            <w:r w:rsidRPr="00D21C59">
              <w:t>6</w:t>
            </w:r>
            <w:r w:rsidR="00A179E0">
              <w:t>7</w:t>
            </w:r>
            <w:r w:rsidRPr="00D21C59">
              <w:t>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CA3EC8" w:rsidP="00CA3EC8">
            <w:pPr>
              <w:jc w:val="right"/>
            </w:pPr>
            <w:r>
              <w:t>+50,0</w:t>
            </w:r>
          </w:p>
        </w:tc>
      </w:tr>
      <w:tr w:rsidR="006E3EA5" w:rsidRPr="00DC0A56" w:rsidTr="00A67158">
        <w:trPr>
          <w:trHeight w:val="36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D21C59">
            <w:pPr>
              <w:jc w:val="right"/>
            </w:pPr>
            <w:r w:rsidRPr="00D21C59">
              <w:t>4615,9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BC4E94" w:rsidP="00BC4E94">
            <w:pPr>
              <w:jc w:val="right"/>
            </w:pPr>
            <w:r w:rsidRPr="00D21C59">
              <w:t>4610,9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9A0623" w:rsidP="00D21C59">
            <w:pPr>
              <w:jc w:val="right"/>
            </w:pPr>
            <w:r w:rsidRPr="00D21C59">
              <w:t>-</w:t>
            </w:r>
            <w:r w:rsidR="00D21C59" w:rsidRPr="00D21C59">
              <w:t>5,0</w:t>
            </w:r>
          </w:p>
        </w:tc>
      </w:tr>
      <w:tr w:rsidR="006E3EA5" w:rsidRPr="00DC0A56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 Культура,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6E3EA5" w:rsidP="00D21C59">
            <w:pPr>
              <w:jc w:val="right"/>
            </w:pPr>
            <w:r w:rsidRPr="00D21C59">
              <w:t>5</w:t>
            </w:r>
            <w:r w:rsidR="00D21C59" w:rsidRPr="00D21C59">
              <w:t>876,5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8E41A5" w:rsidP="00CB0C0D">
            <w:pPr>
              <w:jc w:val="right"/>
            </w:pPr>
            <w:r w:rsidRPr="00D21C59">
              <w:t>5876,5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6E3EA5" w:rsidP="00531455">
            <w:pPr>
              <w:jc w:val="right"/>
            </w:pPr>
            <w:r w:rsidRPr="00D21C59">
              <w:t>0,0</w:t>
            </w:r>
          </w:p>
        </w:tc>
      </w:tr>
      <w:tr w:rsidR="006E3EA5" w:rsidRPr="00DC0A56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6E3EA5">
            <w:pPr>
              <w:jc w:val="right"/>
            </w:pPr>
            <w:r w:rsidRPr="00D21C59">
              <w:t>392,0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8E41A5" w:rsidP="008E41A5">
            <w:pPr>
              <w:jc w:val="right"/>
            </w:pPr>
            <w:r w:rsidRPr="00D21C59">
              <w:t>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D21C59" w:rsidRDefault="00D21C59" w:rsidP="00D21C59">
            <w:pPr>
              <w:jc w:val="right"/>
            </w:pPr>
            <w:r w:rsidRPr="00D21C59">
              <w:t>+11,0</w:t>
            </w:r>
          </w:p>
        </w:tc>
      </w:tr>
      <w:tr w:rsidR="008E41A5" w:rsidRPr="00DC0A56" w:rsidTr="00A67158">
        <w:trPr>
          <w:trHeight w:val="29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6E3EA5" w:rsidRDefault="008E41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Физическая 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D21C59" w:rsidRDefault="008E41A5" w:rsidP="008E41A5">
            <w:pPr>
              <w:jc w:val="right"/>
            </w:pPr>
            <w:r w:rsidRPr="00D21C59">
              <w:t>2249,3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D21C59" w:rsidRDefault="008E41A5" w:rsidP="00CB0C0D">
            <w:pPr>
              <w:jc w:val="right"/>
            </w:pPr>
            <w:r w:rsidRPr="00D21C59">
              <w:t>2249,3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D21C59" w:rsidRDefault="008E41A5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D21C59">
              <w:t>0,0</w:t>
            </w:r>
          </w:p>
        </w:tc>
      </w:tr>
      <w:tr w:rsidR="008E41A5" w:rsidRPr="00744194" w:rsidTr="00A67158">
        <w:trPr>
          <w:trHeight w:val="3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744194" w:rsidRDefault="008E41A5" w:rsidP="00CB0C0D">
            <w:pPr>
              <w:autoSpaceDE w:val="0"/>
              <w:autoSpaceDN w:val="0"/>
              <w:adjustRightInd w:val="0"/>
              <w:jc w:val="both"/>
            </w:pPr>
            <w:r w:rsidRPr="00744194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744194" w:rsidRDefault="008E41A5" w:rsidP="008E41A5">
            <w:pPr>
              <w:jc w:val="right"/>
            </w:pPr>
            <w:r w:rsidRPr="00744194">
              <w:t>10 852,8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744194" w:rsidRDefault="008E41A5" w:rsidP="008E41A5">
            <w:pPr>
              <w:jc w:val="right"/>
            </w:pPr>
            <w:r w:rsidRPr="00744194">
              <w:t>10 852,8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A5" w:rsidRPr="00744194" w:rsidRDefault="008E41A5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744194">
              <w:t>0,0</w:t>
            </w:r>
          </w:p>
        </w:tc>
      </w:tr>
      <w:tr w:rsidR="006E3EA5" w:rsidRPr="00744194" w:rsidTr="00A67158">
        <w:trPr>
          <w:trHeight w:val="36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744194" w:rsidRDefault="006E3EA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4194">
              <w:rPr>
                <w:b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744194" w:rsidRDefault="00D21C59" w:rsidP="006E3EA5">
            <w:pPr>
              <w:jc w:val="right"/>
              <w:rPr>
                <w:b/>
              </w:rPr>
            </w:pPr>
            <w:r w:rsidRPr="00744194">
              <w:rPr>
                <w:b/>
              </w:rPr>
              <w:t>35 321,1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744194" w:rsidRDefault="00D21C59" w:rsidP="00A179E0">
            <w:pPr>
              <w:jc w:val="right"/>
              <w:rPr>
                <w:b/>
              </w:rPr>
            </w:pPr>
            <w:r w:rsidRPr="00744194">
              <w:rPr>
                <w:b/>
              </w:rPr>
              <w:t>35 3</w:t>
            </w:r>
            <w:r w:rsidR="00A179E0" w:rsidRPr="00744194">
              <w:rPr>
                <w:b/>
              </w:rPr>
              <w:t>7</w:t>
            </w:r>
            <w:r w:rsidRPr="00744194">
              <w:rPr>
                <w:b/>
              </w:rPr>
              <w:t>1,1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744194" w:rsidRDefault="00A179E0" w:rsidP="00A179E0">
            <w:pPr>
              <w:jc w:val="right"/>
              <w:rPr>
                <w:b/>
              </w:rPr>
            </w:pPr>
            <w:r w:rsidRPr="00744194">
              <w:rPr>
                <w:b/>
              </w:rPr>
              <w:t>+50,0</w:t>
            </w:r>
          </w:p>
        </w:tc>
      </w:tr>
    </w:tbl>
    <w:p w:rsidR="00CA3EC8" w:rsidRPr="00744194" w:rsidRDefault="00CA3EC8" w:rsidP="00CA3EC8">
      <w:pPr>
        <w:ind w:firstLine="709"/>
        <w:jc w:val="both"/>
        <w:rPr>
          <w:i/>
          <w:sz w:val="28"/>
          <w:szCs w:val="28"/>
        </w:rPr>
      </w:pPr>
      <w:r w:rsidRPr="00744194">
        <w:rPr>
          <w:sz w:val="28"/>
          <w:szCs w:val="28"/>
        </w:rPr>
        <w:t>В 2021 году проектом предлагается увеличение бюджетных ассигнований  на 50,0 тыс.  руб. в том числе, за счет</w:t>
      </w:r>
      <w:r w:rsidR="00562BF4">
        <w:rPr>
          <w:sz w:val="28"/>
          <w:szCs w:val="28"/>
        </w:rPr>
        <w:t xml:space="preserve">  </w:t>
      </w:r>
      <w:r w:rsidRPr="00744194">
        <w:rPr>
          <w:i/>
          <w:sz w:val="28"/>
          <w:szCs w:val="28"/>
        </w:rPr>
        <w:t>увеличения на 66,0 тыс. рублей:</w:t>
      </w:r>
    </w:p>
    <w:p w:rsidR="00CA3EC8" w:rsidRPr="00CA3EC8" w:rsidRDefault="00CA3EC8" w:rsidP="00CA3EC8">
      <w:pPr>
        <w:ind w:firstLine="709"/>
        <w:jc w:val="both"/>
        <w:rPr>
          <w:sz w:val="28"/>
          <w:szCs w:val="28"/>
        </w:rPr>
      </w:pPr>
      <w:r w:rsidRPr="00744194">
        <w:rPr>
          <w:sz w:val="28"/>
          <w:szCs w:val="28"/>
        </w:rPr>
        <w:t>-  по разделу  «Национальная</w:t>
      </w:r>
      <w:r w:rsidRPr="00CA3EC8">
        <w:rPr>
          <w:sz w:val="28"/>
          <w:szCs w:val="28"/>
        </w:rPr>
        <w:t xml:space="preserve"> безопасность и правоохранительная деятельность» </w:t>
      </w:r>
      <w:r>
        <w:rPr>
          <w:sz w:val="28"/>
          <w:szCs w:val="28"/>
        </w:rPr>
        <w:t>в сумме 5,0</w:t>
      </w:r>
      <w:r w:rsidRPr="00A021B2">
        <w:rPr>
          <w:sz w:val="28"/>
          <w:szCs w:val="28"/>
        </w:rPr>
        <w:t xml:space="preserve"> тыс. руб. </w:t>
      </w:r>
      <w:r w:rsidRPr="00CA3EC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приобретение бензина для </w:t>
      </w:r>
      <w:proofErr w:type="spellStart"/>
      <w:r>
        <w:rPr>
          <w:sz w:val="28"/>
          <w:szCs w:val="28"/>
        </w:rPr>
        <w:t>мотопомп</w:t>
      </w:r>
      <w:proofErr w:type="spellEnd"/>
      <w:r w:rsidRPr="00CA3EC8">
        <w:rPr>
          <w:sz w:val="28"/>
          <w:szCs w:val="28"/>
        </w:rPr>
        <w:t>;</w:t>
      </w:r>
    </w:p>
    <w:p w:rsidR="00CA3EC8" w:rsidRDefault="00CA3EC8" w:rsidP="00CA3EC8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>-  по разделу  «</w:t>
      </w:r>
      <w:r>
        <w:rPr>
          <w:sz w:val="28"/>
          <w:szCs w:val="28"/>
        </w:rPr>
        <w:t>Национальная экономика»</w:t>
      </w:r>
      <w:r w:rsidRPr="00A021B2">
        <w:rPr>
          <w:sz w:val="28"/>
          <w:szCs w:val="28"/>
        </w:rPr>
        <w:t xml:space="preserve"> </w:t>
      </w:r>
      <w:r w:rsidR="00744194">
        <w:rPr>
          <w:sz w:val="28"/>
          <w:szCs w:val="28"/>
        </w:rPr>
        <w:t>в сумме 50,0</w:t>
      </w:r>
      <w:r w:rsidR="00744194" w:rsidRPr="00A021B2">
        <w:rPr>
          <w:sz w:val="28"/>
          <w:szCs w:val="28"/>
        </w:rPr>
        <w:t xml:space="preserve"> тыс. руб. </w:t>
      </w:r>
      <w:r w:rsidRPr="00A021B2">
        <w:rPr>
          <w:sz w:val="28"/>
          <w:szCs w:val="28"/>
        </w:rPr>
        <w:t>на</w:t>
      </w:r>
      <w:r>
        <w:rPr>
          <w:sz w:val="28"/>
          <w:szCs w:val="28"/>
        </w:rPr>
        <w:t xml:space="preserve"> межевание земельных участков;</w:t>
      </w:r>
    </w:p>
    <w:p w:rsidR="00CA3EC8" w:rsidRDefault="00CA3EC8" w:rsidP="00CA3EC8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 xml:space="preserve">-  по разделу  </w:t>
      </w:r>
      <w:r w:rsidRPr="005A32F0">
        <w:rPr>
          <w:sz w:val="28"/>
          <w:szCs w:val="28"/>
        </w:rPr>
        <w:t xml:space="preserve"> «Социальная политика»</w:t>
      </w:r>
      <w:r w:rsidR="00744194" w:rsidRPr="00744194">
        <w:rPr>
          <w:sz w:val="28"/>
          <w:szCs w:val="28"/>
        </w:rPr>
        <w:t xml:space="preserve"> </w:t>
      </w:r>
      <w:r w:rsidR="00744194">
        <w:rPr>
          <w:sz w:val="28"/>
          <w:szCs w:val="28"/>
        </w:rPr>
        <w:t>в сумме 11,0</w:t>
      </w:r>
      <w:r w:rsidR="00744194" w:rsidRPr="00A021B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Pr="00A021B2">
        <w:rPr>
          <w:sz w:val="28"/>
          <w:szCs w:val="28"/>
        </w:rPr>
        <w:t>на</w:t>
      </w:r>
      <w:r>
        <w:rPr>
          <w:sz w:val="28"/>
          <w:szCs w:val="28"/>
        </w:rPr>
        <w:t xml:space="preserve"> публичные нормативные обязательства (перерасчет доплаты к пенсии) и социальные выплаты, кроме публичных нормативных обязательств;</w:t>
      </w:r>
    </w:p>
    <w:p w:rsidR="00CA3EC8" w:rsidRPr="00E36C34" w:rsidRDefault="00744194" w:rsidP="00CA3E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CA3EC8" w:rsidRPr="00E36C34">
        <w:rPr>
          <w:i/>
          <w:sz w:val="28"/>
          <w:szCs w:val="28"/>
        </w:rPr>
        <w:t>окращения</w:t>
      </w:r>
      <w:r>
        <w:rPr>
          <w:i/>
          <w:sz w:val="28"/>
          <w:szCs w:val="28"/>
        </w:rPr>
        <w:t xml:space="preserve"> на 16,0 тыс. рублей</w:t>
      </w:r>
      <w:r w:rsidR="00CA3EC8" w:rsidRPr="00E36C34">
        <w:rPr>
          <w:i/>
          <w:sz w:val="28"/>
          <w:szCs w:val="28"/>
        </w:rPr>
        <w:t>:</w:t>
      </w:r>
    </w:p>
    <w:p w:rsidR="00CA3EC8" w:rsidRPr="00CA3EC8" w:rsidRDefault="00CA3EC8" w:rsidP="00CA3EC8">
      <w:pPr>
        <w:ind w:firstLine="709"/>
        <w:jc w:val="both"/>
        <w:rPr>
          <w:color w:val="FF0000"/>
          <w:sz w:val="28"/>
          <w:szCs w:val="28"/>
        </w:rPr>
      </w:pPr>
      <w:r w:rsidRPr="00E36C34">
        <w:rPr>
          <w:sz w:val="28"/>
          <w:szCs w:val="28"/>
        </w:rPr>
        <w:t xml:space="preserve">-  по  разделу «Общегосударственные вопросы» </w:t>
      </w:r>
      <w:r w:rsidR="00744194">
        <w:rPr>
          <w:sz w:val="28"/>
          <w:szCs w:val="28"/>
        </w:rPr>
        <w:t xml:space="preserve">в сумме </w:t>
      </w:r>
      <w:r w:rsidR="00744194" w:rsidRPr="00E36C34">
        <w:rPr>
          <w:sz w:val="28"/>
          <w:szCs w:val="28"/>
        </w:rPr>
        <w:t>1</w:t>
      </w:r>
      <w:r w:rsidR="00744194">
        <w:rPr>
          <w:sz w:val="28"/>
          <w:szCs w:val="28"/>
        </w:rPr>
        <w:t>1,0</w:t>
      </w:r>
      <w:r w:rsidR="00744194" w:rsidRPr="00E36C34">
        <w:rPr>
          <w:sz w:val="28"/>
          <w:szCs w:val="28"/>
        </w:rPr>
        <w:t xml:space="preserve"> тыс.  руб. </w:t>
      </w:r>
      <w:r w:rsidR="00744194">
        <w:rPr>
          <w:sz w:val="28"/>
          <w:szCs w:val="28"/>
        </w:rPr>
        <w:t>бюджетных ассигнований на оплату труда (начисления)</w:t>
      </w:r>
      <w:r w:rsidRPr="00E36C34">
        <w:rPr>
          <w:sz w:val="28"/>
          <w:szCs w:val="28"/>
        </w:rPr>
        <w:t>;</w:t>
      </w:r>
    </w:p>
    <w:p w:rsidR="00CA3EC8" w:rsidRPr="005D51B2" w:rsidRDefault="00744194" w:rsidP="00CA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EC8" w:rsidRPr="00A021B2">
        <w:rPr>
          <w:sz w:val="28"/>
          <w:szCs w:val="28"/>
        </w:rPr>
        <w:t>по разделу  «Жилищно-коммунальное хозяйство</w:t>
      </w:r>
      <w:r w:rsidR="00CA3EC8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Pr="00A021B2">
        <w:rPr>
          <w:sz w:val="28"/>
          <w:szCs w:val="28"/>
        </w:rPr>
        <w:t xml:space="preserve"> </w:t>
      </w:r>
      <w:r>
        <w:rPr>
          <w:sz w:val="28"/>
          <w:szCs w:val="28"/>
        </w:rPr>
        <w:t>5,0</w:t>
      </w:r>
      <w:r w:rsidRPr="00A021B2">
        <w:rPr>
          <w:sz w:val="28"/>
          <w:szCs w:val="28"/>
        </w:rPr>
        <w:t xml:space="preserve"> тыс. руб. </w:t>
      </w:r>
      <w:r w:rsidR="00CA3E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на благоустройство.</w:t>
      </w:r>
    </w:p>
    <w:p w:rsidR="008D3E73" w:rsidRPr="006E3EA5" w:rsidRDefault="00195AF3" w:rsidP="00BF3670">
      <w:pPr>
        <w:ind w:firstLine="709"/>
        <w:jc w:val="both"/>
        <w:rPr>
          <w:sz w:val="28"/>
          <w:szCs w:val="28"/>
        </w:rPr>
      </w:pPr>
      <w:r w:rsidRPr="00E07D2F">
        <w:rPr>
          <w:sz w:val="28"/>
          <w:szCs w:val="28"/>
        </w:rPr>
        <w:t>В результате анализа распределения бюджетных ассигнований бюджета</w:t>
      </w:r>
      <w:r w:rsidRPr="006E3EA5">
        <w:rPr>
          <w:sz w:val="28"/>
          <w:szCs w:val="28"/>
        </w:rPr>
        <w:t xml:space="preserve"> по целевым статьям (муниципальным  программам и </w:t>
      </w:r>
      <w:proofErr w:type="spellStart"/>
      <w:r w:rsidRPr="006E3EA5">
        <w:rPr>
          <w:sz w:val="28"/>
          <w:szCs w:val="28"/>
        </w:rPr>
        <w:t>непрограммным</w:t>
      </w:r>
      <w:proofErr w:type="spellEnd"/>
      <w:r w:rsidRPr="006E3EA5">
        <w:rPr>
          <w:sz w:val="28"/>
          <w:szCs w:val="28"/>
        </w:rPr>
        <w:t xml:space="preserve"> направлениям)</w:t>
      </w:r>
      <w:r w:rsidR="00EF53EB" w:rsidRPr="006E3EA5">
        <w:rPr>
          <w:sz w:val="28"/>
          <w:szCs w:val="28"/>
        </w:rPr>
        <w:t xml:space="preserve"> видам </w:t>
      </w:r>
      <w:proofErr w:type="gramStart"/>
      <w:r w:rsidR="00EF53EB" w:rsidRPr="006E3EA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E3EA5">
        <w:rPr>
          <w:sz w:val="28"/>
          <w:szCs w:val="28"/>
        </w:rPr>
        <w:t xml:space="preserve"> на 202</w:t>
      </w:r>
      <w:r w:rsidR="00DC0A56">
        <w:rPr>
          <w:sz w:val="28"/>
          <w:szCs w:val="28"/>
        </w:rPr>
        <w:t>1</w:t>
      </w:r>
      <w:r w:rsidR="00EF53EB" w:rsidRPr="006E3EA5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40644">
        <w:rPr>
          <w:sz w:val="28"/>
          <w:szCs w:val="28"/>
        </w:rPr>
        <w:t>2</w:t>
      </w:r>
      <w:r w:rsidR="00EF53EB" w:rsidRPr="006E3EA5">
        <w:rPr>
          <w:sz w:val="28"/>
          <w:szCs w:val="28"/>
        </w:rPr>
        <w:t xml:space="preserve"> из </w:t>
      </w:r>
      <w:r w:rsidR="00212FF6">
        <w:rPr>
          <w:sz w:val="28"/>
          <w:szCs w:val="28"/>
        </w:rPr>
        <w:t>7</w:t>
      </w:r>
      <w:r w:rsidR="00EF53EB" w:rsidRPr="006E3EA5">
        <w:rPr>
          <w:sz w:val="28"/>
          <w:szCs w:val="28"/>
        </w:rPr>
        <w:t xml:space="preserve"> муниципальных программ</w:t>
      </w:r>
      <w:r w:rsidR="00EF6CFD" w:rsidRPr="006E3EA5">
        <w:rPr>
          <w:sz w:val="28"/>
          <w:szCs w:val="28"/>
        </w:rPr>
        <w:t>, подлежащих реализации в 202</w:t>
      </w:r>
      <w:r w:rsidR="00DC0A56">
        <w:rPr>
          <w:sz w:val="28"/>
          <w:szCs w:val="28"/>
        </w:rPr>
        <w:t>1</w:t>
      </w:r>
      <w:r w:rsidR="00EF6CFD" w:rsidRPr="006E3EA5">
        <w:rPr>
          <w:sz w:val="28"/>
          <w:szCs w:val="28"/>
        </w:rPr>
        <w:t xml:space="preserve"> году </w:t>
      </w:r>
      <w:r w:rsidR="00EF53EB" w:rsidRPr="006E3EA5">
        <w:rPr>
          <w:sz w:val="28"/>
          <w:szCs w:val="28"/>
        </w:rPr>
        <w:t xml:space="preserve"> (таблица </w:t>
      </w:r>
      <w:r w:rsidR="00DC0A56">
        <w:rPr>
          <w:sz w:val="28"/>
          <w:szCs w:val="28"/>
        </w:rPr>
        <w:t>2</w:t>
      </w:r>
      <w:r w:rsidR="00EF53EB" w:rsidRPr="006E3EA5">
        <w:rPr>
          <w:sz w:val="28"/>
          <w:szCs w:val="28"/>
        </w:rPr>
        <w:t xml:space="preserve">). </w:t>
      </w:r>
      <w:r w:rsidRPr="006E3EA5">
        <w:rPr>
          <w:sz w:val="28"/>
          <w:szCs w:val="28"/>
        </w:rPr>
        <w:t xml:space="preserve"> </w:t>
      </w:r>
      <w:r w:rsidR="00EF53EB" w:rsidRPr="006E3EA5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6E3EA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EA5">
        <w:rPr>
          <w:sz w:val="28"/>
          <w:szCs w:val="28"/>
        </w:rPr>
        <w:t xml:space="preserve">         Таблица №</w:t>
      </w:r>
      <w:r w:rsidR="00DC0A56">
        <w:rPr>
          <w:sz w:val="28"/>
          <w:szCs w:val="28"/>
        </w:rPr>
        <w:t>2</w:t>
      </w:r>
      <w:r w:rsidRPr="006E3EA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6E3EA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E3EA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E3EA5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E3EA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E3EA5">
              <w:t>Сумма расходов по муниципальным программам</w:t>
            </w:r>
          </w:p>
        </w:tc>
      </w:tr>
      <w:tr w:rsidR="00DC0A56" w:rsidRPr="006E3EA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6E3EA5" w:rsidRDefault="00DC0A5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9A0623" w:rsidRDefault="00DC0A56" w:rsidP="00DC0A56">
            <w:pPr>
              <w:autoSpaceDE w:val="0"/>
              <w:autoSpaceDN w:val="0"/>
              <w:adjustRightInd w:val="0"/>
              <w:jc w:val="center"/>
            </w:pPr>
            <w:r w:rsidRPr="009A0623">
              <w:t>Решение от 1</w:t>
            </w:r>
            <w:r>
              <w:t>5</w:t>
            </w:r>
            <w:r w:rsidRPr="009A0623">
              <w:t>.12.20</w:t>
            </w:r>
            <w:r>
              <w:t>20</w:t>
            </w:r>
            <w:r w:rsidRPr="009A0623">
              <w:t xml:space="preserve"> № </w:t>
            </w:r>
            <w: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9A0623" w:rsidRDefault="00DC0A56" w:rsidP="0020084B">
            <w:pPr>
              <w:autoSpaceDE w:val="0"/>
              <w:autoSpaceDN w:val="0"/>
              <w:adjustRightInd w:val="0"/>
              <w:jc w:val="both"/>
            </w:pPr>
            <w:r w:rsidRPr="009A0623">
              <w:t>Проект решения на 1</w:t>
            </w:r>
            <w:r w:rsidR="0020084B">
              <w:t>1</w:t>
            </w:r>
            <w:r w:rsidRPr="009A0623">
              <w:t>.</w:t>
            </w:r>
            <w:r>
              <w:t>03</w:t>
            </w:r>
            <w:r w:rsidRPr="009A0623">
              <w:t>.202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9A0623" w:rsidRDefault="00DC0A56" w:rsidP="00DC0A56">
            <w:pPr>
              <w:autoSpaceDE w:val="0"/>
              <w:autoSpaceDN w:val="0"/>
              <w:adjustRightInd w:val="0"/>
              <w:jc w:val="both"/>
            </w:pPr>
            <w:r w:rsidRPr="009A0623">
              <w:t xml:space="preserve">Изменения 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DC0A56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сельском поселении на 2016-202</w:t>
            </w:r>
            <w:r w:rsidR="00DC0A56">
              <w:rPr>
                <w:bCs/>
                <w:sz w:val="22"/>
                <w:szCs w:val="22"/>
              </w:rPr>
              <w:t>3</w:t>
            </w:r>
            <w:r w:rsidRPr="006E3EA5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9A0623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212FF6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5398">
            <w:pPr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212FF6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</w:t>
            </w:r>
            <w:r w:rsidRPr="006E3EA5">
              <w:rPr>
                <w:bCs/>
                <w:sz w:val="22"/>
                <w:szCs w:val="22"/>
              </w:rPr>
              <w:lastRenderedPageBreak/>
              <w:t xml:space="preserve">технологий Администрации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</w:t>
            </w:r>
            <w:r w:rsidR="00212FF6">
              <w:rPr>
                <w:bCs/>
                <w:sz w:val="22"/>
                <w:szCs w:val="22"/>
              </w:rPr>
              <w:t>3</w:t>
            </w:r>
            <w:r w:rsidRPr="006E3EA5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9A0623">
            <w:pPr>
              <w:jc w:val="right"/>
            </w:pPr>
            <w:r>
              <w:lastRenderedPageBreak/>
              <w:t>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212FF6">
            <w:pPr>
              <w:jc w:val="right"/>
            </w:pPr>
            <w: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212FF6">
            <w:pPr>
              <w:jc w:val="both"/>
            </w:pPr>
            <w:r w:rsidRPr="006E3EA5">
              <w:rPr>
                <w:sz w:val="22"/>
                <w:szCs w:val="22"/>
              </w:rPr>
              <w:lastRenderedPageBreak/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6E3EA5">
              <w:rPr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sz w:val="22"/>
                <w:szCs w:val="22"/>
              </w:rPr>
              <w:t xml:space="preserve"> сельского поселения на 2015-202</w:t>
            </w:r>
            <w:r w:rsidR="00212FF6">
              <w:rPr>
                <w:sz w:val="22"/>
                <w:szCs w:val="22"/>
              </w:rPr>
              <w:t>3</w:t>
            </w:r>
            <w:r w:rsidRPr="006E3EA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9A0623">
            <w:pPr>
              <w:jc w:val="right"/>
            </w:pPr>
            <w:r>
              <w:t>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F7119B">
            <w:pPr>
              <w:jc w:val="right"/>
            </w:pPr>
            <w: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E40644">
            <w:pPr>
              <w:tabs>
                <w:tab w:val="center" w:pos="671"/>
                <w:tab w:val="right" w:pos="1343"/>
              </w:tabs>
              <w:jc w:val="right"/>
            </w:pPr>
            <w:r>
              <w:t>+5,0</w:t>
            </w:r>
          </w:p>
        </w:tc>
      </w:tr>
      <w:tr w:rsidR="009A0623" w:rsidRPr="006E3EA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212FF6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6E3EA5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6E3EA5">
              <w:rPr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sz w:val="22"/>
                <w:szCs w:val="22"/>
              </w:rPr>
              <w:t xml:space="preserve"> сельского поселения на 2014-202</w:t>
            </w:r>
            <w:r w:rsidR="00212FF6">
              <w:rPr>
                <w:sz w:val="22"/>
                <w:szCs w:val="22"/>
              </w:rPr>
              <w:t>3</w:t>
            </w:r>
            <w:r w:rsidRPr="006E3EA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9A0623">
            <w:pPr>
              <w:jc w:val="right"/>
            </w:pPr>
            <w: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212FF6">
            <w:pPr>
              <w:jc w:val="right"/>
            </w:pPr>
            <w: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212FF6">
            <w:pPr>
              <w:jc w:val="both"/>
            </w:pPr>
            <w:r w:rsidRPr="006E3EA5">
              <w:rPr>
                <w:bCs/>
                <w:sz w:val="22"/>
                <w:szCs w:val="22"/>
              </w:rPr>
              <w:t>Муниципальная программа «</w:t>
            </w:r>
            <w:r w:rsidR="00212FF6">
              <w:rPr>
                <w:bCs/>
                <w:sz w:val="22"/>
                <w:szCs w:val="22"/>
              </w:rPr>
              <w:t xml:space="preserve">Благоустройство  территории </w:t>
            </w:r>
            <w:r w:rsidRPr="006E3E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 сельского поселения на 20</w:t>
            </w:r>
            <w:r w:rsidR="00212FF6">
              <w:rPr>
                <w:bCs/>
                <w:sz w:val="22"/>
                <w:szCs w:val="22"/>
              </w:rPr>
              <w:t>21</w:t>
            </w:r>
            <w:r w:rsidRPr="006E3EA5">
              <w:rPr>
                <w:bCs/>
                <w:sz w:val="22"/>
                <w:szCs w:val="22"/>
              </w:rPr>
              <w:t>-202</w:t>
            </w:r>
            <w:r w:rsidR="00212FF6">
              <w:rPr>
                <w:bCs/>
                <w:sz w:val="22"/>
                <w:szCs w:val="22"/>
              </w:rPr>
              <w:t>3</w:t>
            </w:r>
            <w:r w:rsidRPr="006E3EA5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9A0623">
            <w:pPr>
              <w:jc w:val="right"/>
            </w:pPr>
            <w:r>
              <w:t>4615,9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9A0623">
            <w:pPr>
              <w:jc w:val="right"/>
            </w:pPr>
            <w:r>
              <w:t>4610,9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40644">
            <w:pPr>
              <w:jc w:val="right"/>
            </w:pPr>
            <w:r w:rsidRPr="009A0623">
              <w:t>-</w:t>
            </w:r>
            <w:r w:rsidR="00E40644">
              <w:t>5,0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212FF6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</w:t>
            </w:r>
            <w:r w:rsidR="00212FF6">
              <w:rPr>
                <w:bCs/>
                <w:sz w:val="22"/>
                <w:szCs w:val="22"/>
              </w:rPr>
              <w:t>3</w:t>
            </w:r>
            <w:r w:rsidRPr="006E3EA5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212FF6">
            <w:pPr>
              <w:jc w:val="right"/>
            </w:pPr>
            <w:r>
              <w:t>5876,5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EF53EB">
            <w:pPr>
              <w:jc w:val="right"/>
            </w:pPr>
            <w:r>
              <w:t>5876,5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A619D1">
            <w:pPr>
              <w:jc w:val="right"/>
            </w:pPr>
            <w:r w:rsidRPr="009A0623">
              <w:t>0,0</w:t>
            </w:r>
          </w:p>
        </w:tc>
      </w:tr>
      <w:tr w:rsidR="009A0623" w:rsidRPr="006E3EA5" w:rsidTr="0074080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623" w:rsidRPr="006E3EA5" w:rsidRDefault="009A0623" w:rsidP="00212FF6">
            <w:pPr>
              <w:rPr>
                <w:bCs/>
              </w:rPr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</w:t>
            </w:r>
            <w:r w:rsidR="00212FF6">
              <w:rPr>
                <w:bCs/>
                <w:sz w:val="22"/>
                <w:szCs w:val="22"/>
              </w:rPr>
              <w:t>3</w:t>
            </w:r>
            <w:r w:rsidRPr="006E3EA5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9A0623">
            <w:pPr>
              <w:jc w:val="right"/>
            </w:pPr>
            <w:r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212FF6" w:rsidP="00212FF6">
            <w:pPr>
              <w:jc w:val="right"/>
            </w:pPr>
            <w:r>
              <w:t>2249,3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0,0</w:t>
            </w:r>
          </w:p>
        </w:tc>
      </w:tr>
      <w:tr w:rsidR="009A0623" w:rsidRPr="006E3EA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3EA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40644">
            <w:pPr>
              <w:jc w:val="right"/>
              <w:rPr>
                <w:b/>
              </w:rPr>
            </w:pPr>
            <w:r w:rsidRPr="009A0623">
              <w:rPr>
                <w:b/>
              </w:rPr>
              <w:t>14</w:t>
            </w:r>
            <w:r w:rsidR="00E40644">
              <w:rPr>
                <w:b/>
              </w:rPr>
              <w:t> 489,7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D21C59">
            <w:pPr>
              <w:jc w:val="right"/>
              <w:rPr>
                <w:b/>
              </w:rPr>
            </w:pPr>
            <w:r w:rsidRPr="009A0623">
              <w:rPr>
                <w:b/>
              </w:rPr>
              <w:t>14</w:t>
            </w:r>
            <w:r w:rsidR="00D21C59">
              <w:rPr>
                <w:b/>
              </w:rPr>
              <w:t> 489,7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E40644" w:rsidP="00E40644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67158" w:rsidRDefault="00F7119B" w:rsidP="009A0623">
      <w:pPr>
        <w:jc w:val="both"/>
        <w:rPr>
          <w:sz w:val="28"/>
          <w:szCs w:val="28"/>
        </w:rPr>
      </w:pPr>
      <w:r w:rsidRPr="00A179E0">
        <w:rPr>
          <w:sz w:val="28"/>
          <w:szCs w:val="28"/>
        </w:rPr>
        <w:t xml:space="preserve">  </w:t>
      </w:r>
      <w:r w:rsidR="009A0623" w:rsidRPr="00A179E0">
        <w:rPr>
          <w:sz w:val="28"/>
          <w:szCs w:val="28"/>
        </w:rPr>
        <w:t xml:space="preserve">      </w:t>
      </w:r>
    </w:p>
    <w:p w:rsidR="009A0623" w:rsidRPr="00A179E0" w:rsidRDefault="00A67158" w:rsidP="009A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623" w:rsidRPr="00A179E0">
        <w:rPr>
          <w:sz w:val="28"/>
          <w:szCs w:val="28"/>
        </w:rPr>
        <w:t xml:space="preserve">  Данные внесени</w:t>
      </w:r>
      <w:r w:rsidR="00F878C0">
        <w:rPr>
          <w:sz w:val="28"/>
          <w:szCs w:val="28"/>
        </w:rPr>
        <w:t>я</w:t>
      </w:r>
      <w:r w:rsidR="009A0623" w:rsidRPr="00A179E0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F878C0" w:rsidRPr="00A67158" w:rsidRDefault="0020084B" w:rsidP="00CF7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приложений </w:t>
      </w:r>
      <w:r w:rsidRPr="00A67158">
        <w:rPr>
          <w:sz w:val="28"/>
          <w:szCs w:val="28"/>
        </w:rPr>
        <w:t>к Проекту установлено, что</w:t>
      </w:r>
      <w:r w:rsidR="00A67158" w:rsidRPr="00A67158">
        <w:rPr>
          <w:sz w:val="28"/>
          <w:szCs w:val="28"/>
        </w:rPr>
        <w:t xml:space="preserve"> подлежат изменению</w:t>
      </w:r>
      <w:r w:rsidRPr="00A67158">
        <w:rPr>
          <w:sz w:val="28"/>
          <w:szCs w:val="28"/>
        </w:rPr>
        <w:t xml:space="preserve"> бюджетные ассигнования планового периода 2022 и 2023 годов</w:t>
      </w:r>
      <w:r w:rsidR="00A67158" w:rsidRPr="00A67158">
        <w:rPr>
          <w:sz w:val="28"/>
          <w:szCs w:val="28"/>
        </w:rPr>
        <w:t xml:space="preserve"> по разделам  </w:t>
      </w:r>
      <w:r w:rsidRPr="00A67158">
        <w:rPr>
          <w:sz w:val="28"/>
          <w:szCs w:val="28"/>
        </w:rPr>
        <w:t xml:space="preserve"> </w:t>
      </w:r>
      <w:r w:rsidR="00A67158" w:rsidRPr="00A67158">
        <w:rPr>
          <w:sz w:val="28"/>
          <w:szCs w:val="28"/>
        </w:rPr>
        <w:t xml:space="preserve">«Общегосударственные вопросы»,  </w:t>
      </w:r>
      <w:r w:rsidRPr="00A67158">
        <w:rPr>
          <w:sz w:val="28"/>
          <w:szCs w:val="28"/>
        </w:rPr>
        <w:t xml:space="preserve"> </w:t>
      </w:r>
      <w:r w:rsidR="00A67158" w:rsidRPr="00A67158">
        <w:rPr>
          <w:sz w:val="28"/>
          <w:szCs w:val="28"/>
        </w:rPr>
        <w:t>«Национальная безопасность и правоохранительная деятельность», «Жилищно-коммунальное хозяйство»</w:t>
      </w:r>
      <w:r w:rsidR="00A67158">
        <w:rPr>
          <w:sz w:val="28"/>
          <w:szCs w:val="28"/>
        </w:rPr>
        <w:t xml:space="preserve"> и</w:t>
      </w:r>
      <w:r w:rsidR="00A67158" w:rsidRPr="00A67158">
        <w:rPr>
          <w:sz w:val="28"/>
          <w:szCs w:val="28"/>
        </w:rPr>
        <w:t xml:space="preserve"> «Межбюджетные  трансферты  общего характера бюджетам субъектов Российской Федерации и муниципальных  образований»</w:t>
      </w:r>
      <w:r w:rsidR="00A67158">
        <w:rPr>
          <w:sz w:val="28"/>
          <w:szCs w:val="28"/>
        </w:rPr>
        <w:t>. Однако</w:t>
      </w:r>
      <w:proofErr w:type="gramStart"/>
      <w:r w:rsidR="00A67158">
        <w:rPr>
          <w:sz w:val="28"/>
          <w:szCs w:val="28"/>
        </w:rPr>
        <w:t>,</w:t>
      </w:r>
      <w:proofErr w:type="gramEnd"/>
      <w:r w:rsidR="00A67158">
        <w:rPr>
          <w:sz w:val="28"/>
          <w:szCs w:val="28"/>
        </w:rPr>
        <w:t xml:space="preserve"> пояснительная записка к Проекту  не содержит информации о вносимых изменениях, обоснования предлагаемых изменений планового периода отсутствуют.</w:t>
      </w:r>
    </w:p>
    <w:p w:rsidR="00744194" w:rsidRPr="00744194" w:rsidRDefault="00744194" w:rsidP="00CF7D08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744194">
        <w:rPr>
          <w:sz w:val="28"/>
          <w:szCs w:val="28"/>
        </w:rPr>
        <w:t xml:space="preserve">отдельные </w:t>
      </w:r>
      <w:r w:rsidR="00CF7D08">
        <w:rPr>
          <w:sz w:val="28"/>
          <w:szCs w:val="28"/>
        </w:rPr>
        <w:t>нарушения</w:t>
      </w:r>
      <w:r w:rsidRPr="00744194">
        <w:rPr>
          <w:sz w:val="28"/>
          <w:szCs w:val="28"/>
        </w:rPr>
        <w:t xml:space="preserve"> в текстовой части Проекта, которые необходимо устранить:</w:t>
      </w:r>
    </w:p>
    <w:p w:rsidR="00CF7D08" w:rsidRDefault="00744194" w:rsidP="00CF7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D08">
        <w:rPr>
          <w:sz w:val="28"/>
          <w:szCs w:val="28"/>
        </w:rPr>
        <w:t>в соответствии с требованиями ст.184.1 Бюджетного кодекса Российской Федерации в</w:t>
      </w:r>
      <w:r>
        <w:rPr>
          <w:sz w:val="28"/>
          <w:szCs w:val="28"/>
        </w:rPr>
        <w:t xml:space="preserve"> текстовой части Проекта</w:t>
      </w:r>
      <w:r w:rsidR="00687DB4">
        <w:rPr>
          <w:sz w:val="28"/>
          <w:szCs w:val="28"/>
        </w:rPr>
        <w:t xml:space="preserve"> пункт 1.2 изложить в следующей редакции:</w:t>
      </w:r>
      <w:r>
        <w:rPr>
          <w:sz w:val="28"/>
          <w:szCs w:val="28"/>
        </w:rPr>
        <w:t xml:space="preserve"> </w:t>
      </w:r>
      <w:r w:rsidRPr="00744194">
        <w:rPr>
          <w:sz w:val="28"/>
          <w:szCs w:val="28"/>
        </w:rPr>
        <w:t>«1.2 дополнить разделом III1, статьей 6(1) следующего содержания:</w:t>
      </w:r>
      <w:r w:rsidRPr="00744194">
        <w:rPr>
          <w:sz w:val="28"/>
          <w:szCs w:val="28"/>
        </w:rPr>
        <w:br/>
        <w:t>«Раздел III1. Источники финансирования дефицита бюджета сельского поселения</w:t>
      </w:r>
      <w:r w:rsidRPr="00744194">
        <w:rPr>
          <w:sz w:val="28"/>
          <w:szCs w:val="28"/>
        </w:rPr>
        <w:br/>
        <w:t>Статья 6</w:t>
      </w:r>
      <w:r w:rsidR="00687DB4">
        <w:rPr>
          <w:sz w:val="28"/>
          <w:szCs w:val="28"/>
        </w:rPr>
        <w:t>(</w:t>
      </w:r>
      <w:r w:rsidRPr="00744194">
        <w:rPr>
          <w:sz w:val="28"/>
          <w:szCs w:val="28"/>
        </w:rPr>
        <w:t>1</w:t>
      </w:r>
      <w:r w:rsidR="00687DB4">
        <w:rPr>
          <w:sz w:val="28"/>
          <w:szCs w:val="28"/>
        </w:rPr>
        <w:t>)</w:t>
      </w:r>
      <w:r w:rsidRPr="00744194">
        <w:rPr>
          <w:sz w:val="28"/>
          <w:szCs w:val="28"/>
        </w:rPr>
        <w:t>.</w:t>
      </w:r>
    </w:p>
    <w:p w:rsidR="00744194" w:rsidRDefault="00744194" w:rsidP="00CF7D08">
      <w:pPr>
        <w:jc w:val="both"/>
        <w:rPr>
          <w:sz w:val="28"/>
          <w:szCs w:val="28"/>
        </w:rPr>
      </w:pPr>
      <w:r w:rsidRPr="00744194">
        <w:rPr>
          <w:sz w:val="28"/>
          <w:szCs w:val="28"/>
        </w:rPr>
        <w:t>1. Утвердить источники внутреннего финансирования дефицита бюджета сельского поселения  на 2021 год согласно приложению 5 к настоящему решению</w:t>
      </w:r>
      <w:r w:rsidR="00CF7D08">
        <w:rPr>
          <w:sz w:val="28"/>
          <w:szCs w:val="28"/>
        </w:rPr>
        <w:t xml:space="preserve"> </w:t>
      </w:r>
      <w:r w:rsidRPr="00744194">
        <w:rPr>
          <w:sz w:val="28"/>
          <w:szCs w:val="28"/>
        </w:rPr>
        <w:t xml:space="preserve">(приложение 12 к решению Совета </w:t>
      </w:r>
      <w:proofErr w:type="spellStart"/>
      <w:r w:rsidRPr="00744194">
        <w:rPr>
          <w:sz w:val="28"/>
          <w:szCs w:val="28"/>
        </w:rPr>
        <w:t>Нелазского</w:t>
      </w:r>
      <w:proofErr w:type="spellEnd"/>
      <w:r w:rsidRPr="00744194">
        <w:rPr>
          <w:sz w:val="28"/>
          <w:szCs w:val="28"/>
        </w:rPr>
        <w:t xml:space="preserve"> сельского поселения от 15.12.2020 № 135)»</w:t>
      </w:r>
      <w:r w:rsidR="00562BF4">
        <w:rPr>
          <w:sz w:val="28"/>
          <w:szCs w:val="28"/>
        </w:rPr>
        <w:t>;</w:t>
      </w:r>
    </w:p>
    <w:p w:rsidR="00121E34" w:rsidRPr="00744194" w:rsidRDefault="00562BF4" w:rsidP="00121E3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 приложении 2 к Проекту в соответствии с п</w:t>
      </w:r>
      <w:r w:rsidRPr="00562BF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62BF4">
        <w:rPr>
          <w:sz w:val="28"/>
          <w:szCs w:val="28"/>
        </w:rPr>
        <w:t xml:space="preserve">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</w:t>
      </w:r>
      <w:r>
        <w:rPr>
          <w:sz w:val="28"/>
          <w:szCs w:val="28"/>
        </w:rPr>
        <w:t xml:space="preserve"> по подразделу «0203» код вида расходов 244 заменить на 240.</w:t>
      </w:r>
    </w:p>
    <w:p w:rsidR="00C60379" w:rsidRPr="006E3EA5" w:rsidRDefault="0086054B" w:rsidP="00D403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E3EA5">
        <w:rPr>
          <w:color w:val="FF0000"/>
          <w:sz w:val="28"/>
          <w:szCs w:val="28"/>
        </w:rPr>
        <w:t xml:space="preserve">      </w:t>
      </w:r>
    </w:p>
    <w:p w:rsidR="009504EC" w:rsidRPr="009A0623" w:rsidRDefault="000756BA" w:rsidP="00A179E0">
      <w:pPr>
        <w:ind w:firstLine="708"/>
        <w:jc w:val="both"/>
        <w:rPr>
          <w:sz w:val="28"/>
          <w:szCs w:val="28"/>
        </w:rPr>
      </w:pPr>
      <w:r w:rsidRPr="009A0623">
        <w:rPr>
          <w:b/>
          <w:sz w:val="28"/>
          <w:szCs w:val="28"/>
        </w:rPr>
        <w:t>Вывод</w:t>
      </w:r>
      <w:r w:rsidR="00C06ABC" w:rsidRPr="009A0623">
        <w:rPr>
          <w:sz w:val="28"/>
          <w:szCs w:val="28"/>
        </w:rPr>
        <w:t>:</w:t>
      </w:r>
      <w:r w:rsidRPr="009A0623">
        <w:rPr>
          <w:sz w:val="28"/>
          <w:szCs w:val="28"/>
        </w:rPr>
        <w:t xml:space="preserve"> </w:t>
      </w:r>
      <w:r w:rsidR="001C73D5" w:rsidRPr="009A0623">
        <w:rPr>
          <w:sz w:val="28"/>
          <w:szCs w:val="28"/>
        </w:rPr>
        <w:t xml:space="preserve">Представленный проект </w:t>
      </w:r>
      <w:r w:rsidR="00CD609C" w:rsidRPr="009A0623">
        <w:rPr>
          <w:sz w:val="28"/>
          <w:szCs w:val="28"/>
        </w:rPr>
        <w:t>р</w:t>
      </w:r>
      <w:r w:rsidR="00F17867" w:rsidRPr="009A0623">
        <w:rPr>
          <w:sz w:val="28"/>
          <w:szCs w:val="28"/>
        </w:rPr>
        <w:t xml:space="preserve">ешения </w:t>
      </w:r>
      <w:r w:rsidR="00FE4AFF" w:rsidRPr="009A0623">
        <w:rPr>
          <w:sz w:val="28"/>
          <w:szCs w:val="28"/>
        </w:rPr>
        <w:t xml:space="preserve">Совета </w:t>
      </w:r>
      <w:proofErr w:type="spellStart"/>
      <w:r w:rsidR="003649B9" w:rsidRPr="009A0623">
        <w:rPr>
          <w:sz w:val="28"/>
        </w:rPr>
        <w:t>Нелазского</w:t>
      </w:r>
      <w:proofErr w:type="spellEnd"/>
      <w:r w:rsidR="00CD609C" w:rsidRPr="009A0623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9A0623">
        <w:rPr>
          <w:sz w:val="28"/>
        </w:rPr>
        <w:t>Нелазского</w:t>
      </w:r>
      <w:proofErr w:type="spellEnd"/>
      <w:r w:rsidR="00CD609C" w:rsidRPr="009A0623">
        <w:rPr>
          <w:sz w:val="28"/>
          <w:szCs w:val="28"/>
        </w:rPr>
        <w:t xml:space="preserve"> сельского </w:t>
      </w:r>
      <w:r w:rsidR="00CD609C" w:rsidRPr="009A0623">
        <w:rPr>
          <w:sz w:val="28"/>
          <w:szCs w:val="28"/>
        </w:rPr>
        <w:lastRenderedPageBreak/>
        <w:t xml:space="preserve">поселения </w:t>
      </w:r>
      <w:r w:rsidR="00A179E0" w:rsidRPr="00F27DE5">
        <w:rPr>
          <w:sz w:val="28"/>
          <w:szCs w:val="28"/>
        </w:rPr>
        <w:t>от 1</w:t>
      </w:r>
      <w:r w:rsidR="00A179E0">
        <w:rPr>
          <w:sz w:val="28"/>
          <w:szCs w:val="28"/>
        </w:rPr>
        <w:t>5</w:t>
      </w:r>
      <w:r w:rsidR="00A179E0" w:rsidRPr="00F27DE5">
        <w:rPr>
          <w:sz w:val="28"/>
          <w:szCs w:val="28"/>
        </w:rPr>
        <w:t>.12.20</w:t>
      </w:r>
      <w:r w:rsidR="00A179E0">
        <w:rPr>
          <w:sz w:val="28"/>
          <w:szCs w:val="28"/>
        </w:rPr>
        <w:t>20</w:t>
      </w:r>
      <w:r w:rsidR="00A179E0" w:rsidRPr="00F27DE5">
        <w:rPr>
          <w:sz w:val="28"/>
          <w:szCs w:val="28"/>
        </w:rPr>
        <w:t xml:space="preserve"> № </w:t>
      </w:r>
      <w:r w:rsidR="00A179E0">
        <w:rPr>
          <w:sz w:val="28"/>
          <w:szCs w:val="28"/>
        </w:rPr>
        <w:t xml:space="preserve">135 </w:t>
      </w:r>
      <w:r w:rsidR="00A179E0" w:rsidRPr="00F27DE5">
        <w:rPr>
          <w:sz w:val="28"/>
          <w:szCs w:val="28"/>
        </w:rPr>
        <w:t xml:space="preserve">«О бюджете </w:t>
      </w:r>
      <w:proofErr w:type="spellStart"/>
      <w:r w:rsidR="00A179E0">
        <w:rPr>
          <w:sz w:val="28"/>
        </w:rPr>
        <w:t>Нелазского</w:t>
      </w:r>
      <w:proofErr w:type="spellEnd"/>
      <w:r w:rsidR="00A179E0">
        <w:rPr>
          <w:sz w:val="28"/>
          <w:szCs w:val="28"/>
        </w:rPr>
        <w:t xml:space="preserve"> сельского поселения </w:t>
      </w:r>
      <w:r w:rsidR="00A179E0" w:rsidRPr="00F27DE5">
        <w:rPr>
          <w:sz w:val="28"/>
          <w:szCs w:val="28"/>
        </w:rPr>
        <w:t xml:space="preserve">  на 202</w:t>
      </w:r>
      <w:r w:rsidR="00A179E0">
        <w:rPr>
          <w:sz w:val="28"/>
          <w:szCs w:val="28"/>
        </w:rPr>
        <w:t>1</w:t>
      </w:r>
      <w:r w:rsidR="00A179E0" w:rsidRPr="00F27DE5">
        <w:rPr>
          <w:sz w:val="28"/>
          <w:szCs w:val="28"/>
        </w:rPr>
        <w:t xml:space="preserve"> год и плановый период 202</w:t>
      </w:r>
      <w:r w:rsidR="00A179E0">
        <w:rPr>
          <w:sz w:val="28"/>
          <w:szCs w:val="28"/>
        </w:rPr>
        <w:t>2 и</w:t>
      </w:r>
      <w:r w:rsidR="00A179E0" w:rsidRPr="00F27DE5">
        <w:rPr>
          <w:sz w:val="28"/>
          <w:szCs w:val="28"/>
        </w:rPr>
        <w:t xml:space="preserve"> 202</w:t>
      </w:r>
      <w:r w:rsidR="00A179E0">
        <w:rPr>
          <w:sz w:val="28"/>
          <w:szCs w:val="28"/>
        </w:rPr>
        <w:t>3</w:t>
      </w:r>
      <w:r w:rsidR="00A179E0" w:rsidRPr="00F27DE5">
        <w:rPr>
          <w:sz w:val="28"/>
          <w:szCs w:val="28"/>
        </w:rPr>
        <w:t xml:space="preserve"> годов»</w:t>
      </w:r>
      <w:r w:rsidR="00744194">
        <w:rPr>
          <w:sz w:val="28"/>
          <w:szCs w:val="28"/>
        </w:rPr>
        <w:t xml:space="preserve"> в целом</w:t>
      </w:r>
      <w:r w:rsidR="00A179E0">
        <w:rPr>
          <w:sz w:val="28"/>
          <w:szCs w:val="28"/>
        </w:rPr>
        <w:t xml:space="preserve"> </w:t>
      </w:r>
      <w:r w:rsidR="009504EC" w:rsidRPr="009A0623">
        <w:rPr>
          <w:sz w:val="28"/>
          <w:szCs w:val="28"/>
        </w:rPr>
        <w:t>соответствует нормам действующего бюджетного законодательства</w:t>
      </w:r>
      <w:r w:rsidR="00A179E0">
        <w:rPr>
          <w:sz w:val="28"/>
          <w:szCs w:val="28"/>
        </w:rPr>
        <w:t>, однако, содержит н</w:t>
      </w:r>
      <w:r w:rsidR="00744194">
        <w:rPr>
          <w:sz w:val="28"/>
          <w:szCs w:val="28"/>
        </w:rPr>
        <w:t>арушени</w:t>
      </w:r>
      <w:r w:rsidR="00562BF4">
        <w:rPr>
          <w:sz w:val="28"/>
          <w:szCs w:val="28"/>
        </w:rPr>
        <w:t>я</w:t>
      </w:r>
      <w:r w:rsidR="00A179E0">
        <w:rPr>
          <w:sz w:val="28"/>
          <w:szCs w:val="28"/>
        </w:rPr>
        <w:t>, котор</w:t>
      </w:r>
      <w:r w:rsidR="00562BF4">
        <w:rPr>
          <w:sz w:val="28"/>
          <w:szCs w:val="28"/>
        </w:rPr>
        <w:t>ы</w:t>
      </w:r>
      <w:r w:rsidR="00A179E0">
        <w:rPr>
          <w:sz w:val="28"/>
          <w:szCs w:val="28"/>
        </w:rPr>
        <w:t>е необходимо устранить.</w:t>
      </w:r>
      <w:r w:rsidR="009504EC" w:rsidRPr="009A0623">
        <w:rPr>
          <w:sz w:val="28"/>
          <w:szCs w:val="28"/>
        </w:rPr>
        <w:t xml:space="preserve"> </w:t>
      </w:r>
    </w:p>
    <w:p w:rsidR="00B55CA0" w:rsidRDefault="00B55CA0" w:rsidP="00F17867">
      <w:pPr>
        <w:jc w:val="both"/>
        <w:rPr>
          <w:sz w:val="28"/>
          <w:szCs w:val="28"/>
        </w:rPr>
      </w:pPr>
    </w:p>
    <w:p w:rsidR="00A67158" w:rsidRDefault="00A67158" w:rsidP="00F17867">
      <w:pPr>
        <w:jc w:val="both"/>
        <w:rPr>
          <w:sz w:val="28"/>
          <w:szCs w:val="28"/>
        </w:rPr>
      </w:pPr>
    </w:p>
    <w:p w:rsidR="00F17867" w:rsidRPr="00740801" w:rsidRDefault="003013F6" w:rsidP="00F17867">
      <w:pPr>
        <w:jc w:val="both"/>
        <w:rPr>
          <w:sz w:val="28"/>
          <w:szCs w:val="28"/>
        </w:rPr>
      </w:pPr>
      <w:r w:rsidRPr="00740801">
        <w:rPr>
          <w:sz w:val="28"/>
          <w:szCs w:val="28"/>
        </w:rPr>
        <w:t>П</w:t>
      </w:r>
      <w:r w:rsidR="003176E9" w:rsidRPr="00740801">
        <w:rPr>
          <w:sz w:val="28"/>
          <w:szCs w:val="28"/>
        </w:rPr>
        <w:t>редседател</w:t>
      </w:r>
      <w:r w:rsidRPr="0074080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9C55C7" w:rsidRDefault="00F17867" w:rsidP="0074080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sectPr w:rsidR="009C55C7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4B" w:rsidRDefault="0020084B" w:rsidP="00D5253B">
      <w:r>
        <w:separator/>
      </w:r>
    </w:p>
  </w:endnote>
  <w:endnote w:type="continuationSeparator" w:id="0">
    <w:p w:rsidR="0020084B" w:rsidRDefault="0020084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20084B" w:rsidRDefault="0020084B">
        <w:pPr>
          <w:pStyle w:val="ad"/>
          <w:jc w:val="center"/>
        </w:pPr>
        <w:fldSimple w:instr=" PAGE   \* MERGEFORMAT ">
          <w:r w:rsidR="00A67158">
            <w:rPr>
              <w:noProof/>
            </w:rPr>
            <w:t>3</w:t>
          </w:r>
        </w:fldSimple>
      </w:p>
    </w:sdtContent>
  </w:sdt>
  <w:p w:rsidR="0020084B" w:rsidRDefault="002008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4B" w:rsidRDefault="0020084B" w:rsidP="00D5253B">
      <w:r>
        <w:separator/>
      </w:r>
    </w:p>
  </w:footnote>
  <w:footnote w:type="continuationSeparator" w:id="0">
    <w:p w:rsidR="0020084B" w:rsidRDefault="0020084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483A"/>
    <w:rsid w:val="00037C14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7F96"/>
    <w:rsid w:val="002125DB"/>
    <w:rsid w:val="00212C1C"/>
    <w:rsid w:val="00212FF6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29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87DB4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4194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2B4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41A5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2724"/>
    <w:rsid w:val="00A03131"/>
    <w:rsid w:val="00A050E0"/>
    <w:rsid w:val="00A05810"/>
    <w:rsid w:val="00A06B1B"/>
    <w:rsid w:val="00A07BF0"/>
    <w:rsid w:val="00A132E3"/>
    <w:rsid w:val="00A1472F"/>
    <w:rsid w:val="00A16222"/>
    <w:rsid w:val="00A179E0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60DA8"/>
    <w:rsid w:val="00A6178C"/>
    <w:rsid w:val="00A619D1"/>
    <w:rsid w:val="00A62A99"/>
    <w:rsid w:val="00A6565C"/>
    <w:rsid w:val="00A65DEC"/>
    <w:rsid w:val="00A66A49"/>
    <w:rsid w:val="00A670A9"/>
    <w:rsid w:val="00A67158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660"/>
    <w:rsid w:val="00AD3E24"/>
    <w:rsid w:val="00AD5EE5"/>
    <w:rsid w:val="00AD635B"/>
    <w:rsid w:val="00AD7942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4278"/>
    <w:rsid w:val="00B6690A"/>
    <w:rsid w:val="00B70B98"/>
    <w:rsid w:val="00B7361D"/>
    <w:rsid w:val="00B7432D"/>
    <w:rsid w:val="00B81F95"/>
    <w:rsid w:val="00B83E8E"/>
    <w:rsid w:val="00B85577"/>
    <w:rsid w:val="00B85D73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6DD9"/>
    <w:rsid w:val="00BF73BA"/>
    <w:rsid w:val="00C029AB"/>
    <w:rsid w:val="00C052FF"/>
    <w:rsid w:val="00C06ABC"/>
    <w:rsid w:val="00C06DCC"/>
    <w:rsid w:val="00C07B76"/>
    <w:rsid w:val="00C11BA6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F0A5D"/>
    <w:rsid w:val="00CF0E56"/>
    <w:rsid w:val="00CF7232"/>
    <w:rsid w:val="00CF7D08"/>
    <w:rsid w:val="00D0177D"/>
    <w:rsid w:val="00D01BD1"/>
    <w:rsid w:val="00D055E8"/>
    <w:rsid w:val="00D10D65"/>
    <w:rsid w:val="00D13977"/>
    <w:rsid w:val="00D173B3"/>
    <w:rsid w:val="00D217DB"/>
    <w:rsid w:val="00D21C59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40644"/>
    <w:rsid w:val="00E43CCD"/>
    <w:rsid w:val="00E50AFD"/>
    <w:rsid w:val="00E51724"/>
    <w:rsid w:val="00E5675F"/>
    <w:rsid w:val="00E606CC"/>
    <w:rsid w:val="00E62A20"/>
    <w:rsid w:val="00E64B2F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834"/>
    <w:rsid w:val="00F80727"/>
    <w:rsid w:val="00F878C0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0A0D-36D9-4A11-9BFA-976E763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2021-03-16T06:00:00Z</cp:lastPrinted>
  <dcterms:created xsi:type="dcterms:W3CDTF">2020-12-10T14:23:00Z</dcterms:created>
  <dcterms:modified xsi:type="dcterms:W3CDTF">2021-03-16T06:00:00Z</dcterms:modified>
</cp:coreProperties>
</file>